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0001976835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36"/>
        <w:gridCol w:w="4169"/>
      </w:tblGrid>
      <w:tr>
        <w:trPr/>
        <w:tc>
          <w:tcPr>
            <w:tcW w:w="6036" w:type="dxa"/>
            <w:tcBorders/>
            <w:vAlign w:val="center"/>
          </w:tcPr>
          <w:p>
            <w:pPr>
              <w:pStyle w:val="TableContents"/>
              <w:bidi w:val="0"/>
              <w:spacing w:before="0" w:after="283"/>
              <w:jc w:val="left"/>
              <w:rPr/>
            </w:pPr>
            <w:r>
              <w:rPr/>
              <w:t>Name of Issuer</w:t>
            </w:r>
          </w:p>
        </w:tc>
        <w:tc>
          <w:tcPr>
            <w:tcW w:w="4169" w:type="dxa"/>
            <w:tcBorders/>
            <w:vAlign w:val="center"/>
          </w:tcPr>
          <w:p>
            <w:pPr>
              <w:pStyle w:val="TableContents"/>
              <w:bidi w:val="0"/>
              <w:spacing w:before="0" w:after="0"/>
              <w:jc w:val="left"/>
              <w:rPr/>
            </w:pPr>
            <w:r>
              <w:rPr/>
              <w:t>KE Holdings Inc.</w:t>
            </w:r>
          </w:p>
        </w:tc>
      </w:tr>
      <w:tr>
        <w:trPr/>
        <w:tc>
          <w:tcPr>
            <w:tcW w:w="6036" w:type="dxa"/>
            <w:tcBorders/>
            <w:vAlign w:val="center"/>
          </w:tcPr>
          <w:p>
            <w:pPr>
              <w:pStyle w:val="TableContents"/>
              <w:bidi w:val="0"/>
              <w:spacing w:before="0" w:after="283"/>
              <w:jc w:val="left"/>
              <w:rPr/>
            </w:pPr>
            <w:r>
              <w:rPr/>
              <w:t>SEC File Number</w:t>
            </w:r>
          </w:p>
        </w:tc>
        <w:tc>
          <w:tcPr>
            <w:tcW w:w="4169" w:type="dxa"/>
            <w:tcBorders/>
            <w:vAlign w:val="center"/>
          </w:tcPr>
          <w:p>
            <w:pPr>
              <w:pStyle w:val="TableContents"/>
              <w:bidi w:val="0"/>
              <w:spacing w:before="0" w:after="0"/>
              <w:jc w:val="left"/>
              <w:rPr/>
            </w:pPr>
            <w:r>
              <w:rPr/>
              <w:t>001-39436</w:t>
            </w:r>
          </w:p>
        </w:tc>
      </w:tr>
      <w:tr>
        <w:trPr/>
        <w:tc>
          <w:tcPr>
            <w:tcW w:w="6036" w:type="dxa"/>
            <w:tcBorders/>
            <w:vAlign w:val="center"/>
          </w:tcPr>
          <w:p>
            <w:pPr>
              <w:pStyle w:val="TableContents"/>
              <w:bidi w:val="0"/>
              <w:spacing w:before="0" w:after="283"/>
              <w:jc w:val="left"/>
              <w:rPr/>
            </w:pPr>
            <w:r>
              <w:rPr/>
              <w:t>Address of Issuer</w:t>
            </w:r>
          </w:p>
        </w:tc>
        <w:tc>
          <w:tcPr>
            <w:tcW w:w="4169" w:type="dxa"/>
            <w:tcBorders/>
            <w:vAlign w:val="center"/>
          </w:tcPr>
          <w:p>
            <w:pPr>
              <w:pStyle w:val="TableContents"/>
              <w:bidi w:val="0"/>
              <w:spacing w:before="0" w:after="0"/>
              <w:jc w:val="left"/>
              <w:rPr/>
            </w:pPr>
            <w:r>
              <w:rPr/>
              <w:t>Oriental Electronic Technology Building</w:t>
              <w:br/>
              <w:t>No. 2 Chuangye Road, Haidian District</w:t>
              <w:br/>
              <w:t>Beijing</w:t>
              <w:br/>
              <w:t xml:space="preserve">CHINA </w:t>
              <w:br/>
              <w:t>100086</w:t>
            </w:r>
          </w:p>
        </w:tc>
      </w:tr>
      <w:tr>
        <w:trPr/>
        <w:tc>
          <w:tcPr>
            <w:tcW w:w="6036" w:type="dxa"/>
            <w:tcBorders/>
            <w:vAlign w:val="center"/>
          </w:tcPr>
          <w:p>
            <w:pPr>
              <w:pStyle w:val="TableContents"/>
              <w:bidi w:val="0"/>
              <w:spacing w:before="0" w:after="283"/>
              <w:jc w:val="left"/>
              <w:rPr/>
            </w:pPr>
            <w:r>
              <w:rPr/>
              <w:t>Phone</w:t>
            </w:r>
          </w:p>
        </w:tc>
        <w:tc>
          <w:tcPr>
            <w:tcW w:w="4169" w:type="dxa"/>
            <w:tcBorders/>
            <w:vAlign w:val="center"/>
          </w:tcPr>
          <w:p>
            <w:pPr>
              <w:pStyle w:val="TableContents"/>
              <w:bidi w:val="0"/>
              <w:spacing w:before="0" w:after="0"/>
              <w:jc w:val="left"/>
              <w:rPr/>
            </w:pPr>
            <w:r>
              <w:rPr/>
              <w:t>86-10-5810-4689</w:t>
            </w:r>
          </w:p>
        </w:tc>
      </w:tr>
      <w:tr>
        <w:trPr/>
        <w:tc>
          <w:tcPr>
            <w:tcW w:w="6036" w:type="dxa"/>
            <w:tcBorders/>
            <w:vAlign w:val="center"/>
          </w:tcPr>
          <w:p>
            <w:pPr>
              <w:pStyle w:val="TableContents"/>
              <w:bidi w:val="0"/>
              <w:spacing w:before="0" w:after="283"/>
              <w:jc w:val="left"/>
              <w:rPr/>
            </w:pPr>
            <w:r>
              <w:rPr/>
              <w:t>Name of Person for Whose Account the Securities are To Be Sold</w:t>
            </w:r>
          </w:p>
        </w:tc>
        <w:tc>
          <w:tcPr>
            <w:tcW w:w="4169" w:type="dxa"/>
            <w:tcBorders/>
            <w:vAlign w:val="center"/>
          </w:tcPr>
          <w:p>
            <w:pPr>
              <w:pStyle w:val="TableContents"/>
              <w:bidi w:val="0"/>
              <w:spacing w:before="0" w:after="0"/>
              <w:jc w:val="left"/>
              <w:rPr/>
            </w:pPr>
            <w:r>
              <w:rPr/>
              <w:t>Clover Rich Limited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36" w:type="dxa"/>
            <w:tcBorders/>
            <w:vAlign w:val="center"/>
          </w:tcPr>
          <w:p>
            <w:pPr>
              <w:pStyle w:val="TableContents"/>
              <w:bidi w:val="0"/>
              <w:spacing w:before="0" w:after="283"/>
              <w:jc w:val="left"/>
              <w:rPr/>
            </w:pPr>
            <w:r>
              <w:rPr/>
              <w:t>Relationship to Issuer</w:t>
            </w:r>
          </w:p>
        </w:tc>
        <w:tc>
          <w:tcPr>
            <w:tcW w:w="416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9"/>
        <w:gridCol w:w="1466"/>
        <w:gridCol w:w="1173"/>
        <w:gridCol w:w="1467"/>
        <w:gridCol w:w="1556"/>
        <w:gridCol w:w="1569"/>
        <w:gridCol w:w="1385"/>
      </w:tblGrid>
      <w:tr>
        <w:trPr/>
        <w:tc>
          <w:tcPr>
            <w:tcW w:w="1589" w:type="dxa"/>
            <w:tcBorders/>
            <w:vAlign w:val="center"/>
          </w:tcPr>
          <w:p>
            <w:pPr>
              <w:pStyle w:val="TableHeading"/>
              <w:suppressLineNumbers/>
              <w:bidi w:val="0"/>
              <w:spacing w:before="0" w:after="283"/>
              <w:jc w:val="center"/>
              <w:rPr/>
            </w:pPr>
            <w:r>
              <w:rPr/>
              <w:t>Title of the Class of Securities To Be Sold</w:t>
            </w:r>
          </w:p>
        </w:tc>
        <w:tc>
          <w:tcPr>
            <w:tcW w:w="1466"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467"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5" w:type="dxa"/>
            <w:tcBorders/>
            <w:vAlign w:val="center"/>
          </w:tcPr>
          <w:p>
            <w:pPr>
              <w:pStyle w:val="TableHeading"/>
              <w:suppressLineNumbers/>
              <w:bidi w:val="0"/>
              <w:spacing w:before="0" w:after="283"/>
              <w:jc w:val="center"/>
              <w:rPr/>
            </w:pPr>
            <w:r>
              <w:rPr/>
              <w:t>Name the Securities Exchange</w:t>
            </w:r>
          </w:p>
        </w:tc>
      </w:tr>
      <w:tr>
        <w:trPr/>
        <w:tc>
          <w:tcPr>
            <w:tcW w:w="1589" w:type="dxa"/>
            <w:tcBorders/>
            <w:vAlign w:val="center"/>
          </w:tcPr>
          <w:p>
            <w:pPr>
              <w:pStyle w:val="TableContents"/>
              <w:bidi w:val="0"/>
              <w:spacing w:before="0" w:after="283"/>
              <w:jc w:val="left"/>
              <w:rPr/>
            </w:pPr>
            <w:r>
              <w:rPr/>
              <w:t>ADS (1 ADS equals 3 Class A ordinary shares)</w:t>
            </w:r>
          </w:p>
        </w:tc>
        <w:tc>
          <w:tcPr>
            <w:tcW w:w="1466" w:type="dxa"/>
            <w:tcBorders/>
            <w:vAlign w:val="center"/>
          </w:tcPr>
          <w:p>
            <w:pPr>
              <w:pStyle w:val="TableContents"/>
              <w:bidi w:val="0"/>
              <w:spacing w:before="0" w:after="0"/>
              <w:jc w:val="left"/>
              <w:rPr/>
            </w:pPr>
            <w:r>
              <w:rPr/>
              <w:t>Goldman Sachs &amp; Co. LLC</w:t>
              <w:br/>
              <w:t>200 West Street</w:t>
              <w:br/>
              <w:t>New York   NY   10282</w:t>
            </w:r>
          </w:p>
        </w:tc>
        <w:tc>
          <w:tcPr>
            <w:tcW w:w="1173" w:type="dxa"/>
            <w:tcBorders/>
            <w:vAlign w:val="center"/>
          </w:tcPr>
          <w:p>
            <w:pPr>
              <w:pStyle w:val="TableContents"/>
              <w:bidi w:val="0"/>
              <w:spacing w:before="0" w:after="283"/>
              <w:jc w:val="left"/>
              <w:rPr/>
            </w:pPr>
            <w:r>
              <w:rPr/>
              <w:t>1108890</w:t>
            </w:r>
          </w:p>
        </w:tc>
        <w:tc>
          <w:tcPr>
            <w:tcW w:w="1467" w:type="dxa"/>
            <w:tcBorders/>
            <w:vAlign w:val="center"/>
          </w:tcPr>
          <w:p>
            <w:pPr>
              <w:pStyle w:val="TableContents"/>
              <w:bidi w:val="0"/>
              <w:spacing w:before="0" w:after="283"/>
              <w:jc w:val="left"/>
              <w:rPr/>
            </w:pPr>
            <w:r>
              <w:rPr/>
              <w:t>18374307.3</w:t>
            </w:r>
          </w:p>
        </w:tc>
        <w:tc>
          <w:tcPr>
            <w:tcW w:w="1556" w:type="dxa"/>
            <w:tcBorders/>
            <w:vAlign w:val="center"/>
          </w:tcPr>
          <w:p>
            <w:pPr>
              <w:pStyle w:val="TableContents"/>
              <w:bidi w:val="0"/>
              <w:spacing w:before="0" w:after="283"/>
              <w:jc w:val="left"/>
              <w:rPr/>
            </w:pPr>
            <w:r>
              <w:rPr/>
              <w:t>1063995894</w:t>
            </w:r>
          </w:p>
        </w:tc>
        <w:tc>
          <w:tcPr>
            <w:tcW w:w="1569" w:type="dxa"/>
            <w:tcBorders/>
            <w:vAlign w:val="center"/>
          </w:tcPr>
          <w:p>
            <w:pPr>
              <w:pStyle w:val="TableContents"/>
              <w:bidi w:val="0"/>
              <w:spacing w:before="0" w:after="283"/>
              <w:jc w:val="left"/>
              <w:rPr/>
            </w:pPr>
            <w:r>
              <w:rPr/>
              <w:t>09/21/2026</w:t>
            </w:r>
          </w:p>
        </w:tc>
        <w:tc>
          <w:tcPr>
            <w:tcW w:w="1385"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32"/>
        <w:gridCol w:w="1118"/>
        <w:gridCol w:w="1462"/>
        <w:gridCol w:w="1179"/>
        <w:gridCol w:w="523"/>
        <w:gridCol w:w="1118"/>
        <w:gridCol w:w="1173"/>
        <w:gridCol w:w="1060"/>
        <w:gridCol w:w="1540"/>
      </w:tblGrid>
      <w:tr>
        <w:trPr/>
        <w:tc>
          <w:tcPr>
            <w:tcW w:w="1032" w:type="dxa"/>
            <w:tcBorders/>
            <w:vAlign w:val="center"/>
          </w:tcPr>
          <w:p>
            <w:pPr>
              <w:pStyle w:val="TableHeading"/>
              <w:suppressLineNumbers/>
              <w:bidi w:val="0"/>
              <w:spacing w:before="0" w:after="283"/>
              <w:jc w:val="center"/>
              <w:rPr/>
            </w:pPr>
            <w:r>
              <w:rPr/>
              <w:t>Title of the Class</w:t>
            </w:r>
          </w:p>
        </w:tc>
        <w:tc>
          <w:tcPr>
            <w:tcW w:w="1118" w:type="dxa"/>
            <w:tcBorders/>
            <w:vAlign w:val="center"/>
          </w:tcPr>
          <w:p>
            <w:pPr>
              <w:pStyle w:val="TableHeading"/>
              <w:suppressLineNumbers/>
              <w:bidi w:val="0"/>
              <w:spacing w:before="0" w:after="283"/>
              <w:jc w:val="center"/>
              <w:rPr/>
            </w:pPr>
            <w:r>
              <w:rPr/>
              <w:t>Date you Acquired</w:t>
            </w:r>
          </w:p>
        </w:tc>
        <w:tc>
          <w:tcPr>
            <w:tcW w:w="1462" w:type="dxa"/>
            <w:tcBorders/>
            <w:vAlign w:val="center"/>
          </w:tcPr>
          <w:p>
            <w:pPr>
              <w:pStyle w:val="TableHeading"/>
              <w:suppressLineNumbers/>
              <w:bidi w:val="0"/>
              <w:spacing w:before="0" w:after="283"/>
              <w:jc w:val="center"/>
              <w:rPr/>
            </w:pPr>
            <w:r>
              <w:rPr/>
              <w:t>Nature of Acquisition Transaction</w:t>
            </w:r>
          </w:p>
        </w:tc>
        <w:tc>
          <w:tcPr>
            <w:tcW w:w="1179" w:type="dxa"/>
            <w:tcBorders/>
            <w:vAlign w:val="center"/>
          </w:tcPr>
          <w:p>
            <w:pPr>
              <w:pStyle w:val="TableHeading"/>
              <w:suppressLineNumbers/>
              <w:bidi w:val="0"/>
              <w:spacing w:before="0" w:after="283"/>
              <w:jc w:val="center"/>
              <w:rPr/>
            </w:pPr>
            <w:r>
              <w:rPr/>
              <w:t>Name of Person from Whom Acquired</w:t>
            </w:r>
          </w:p>
        </w:tc>
        <w:tc>
          <w:tcPr>
            <w:tcW w:w="523" w:type="dxa"/>
            <w:tcBorders/>
            <w:vAlign w:val="center"/>
          </w:tcPr>
          <w:p>
            <w:pPr>
              <w:pStyle w:val="TableHeading"/>
              <w:suppressLineNumbers/>
              <w:bidi w:val="0"/>
              <w:spacing w:before="0" w:after="283"/>
              <w:jc w:val="center"/>
              <w:rPr/>
            </w:pPr>
            <w:r>
              <w:rPr/>
              <w:t>Is this a Gift?</w:t>
            </w:r>
          </w:p>
        </w:tc>
        <w:tc>
          <w:tcPr>
            <w:tcW w:w="1118" w:type="dxa"/>
            <w:tcBorders/>
            <w:vAlign w:val="center"/>
          </w:tcPr>
          <w:p>
            <w:pPr>
              <w:pStyle w:val="TableHeading"/>
              <w:suppressLineNumbers/>
              <w:bidi w:val="0"/>
              <w:spacing w:before="0" w:after="283"/>
              <w:jc w:val="center"/>
              <w:rPr/>
            </w:pPr>
            <w:r>
              <w:rPr/>
              <w:t>Date Donor Acquired</w:t>
            </w:r>
          </w:p>
        </w:tc>
        <w:tc>
          <w:tcPr>
            <w:tcW w:w="1173" w:type="dxa"/>
            <w:tcBorders/>
            <w:vAlign w:val="center"/>
          </w:tcPr>
          <w:p>
            <w:pPr>
              <w:pStyle w:val="TableHeading"/>
              <w:suppressLineNumbers/>
              <w:bidi w:val="0"/>
              <w:spacing w:before="0" w:after="283"/>
              <w:jc w:val="center"/>
              <w:rPr/>
            </w:pPr>
            <w:r>
              <w:rPr/>
              <w:t>Amount of Securities Acquired</w:t>
            </w:r>
          </w:p>
        </w:tc>
        <w:tc>
          <w:tcPr>
            <w:tcW w:w="1060" w:type="dxa"/>
            <w:tcBorders/>
            <w:vAlign w:val="center"/>
          </w:tcPr>
          <w:p>
            <w:pPr>
              <w:pStyle w:val="TableHeading"/>
              <w:suppressLineNumbers/>
              <w:bidi w:val="0"/>
              <w:spacing w:before="0" w:after="283"/>
              <w:jc w:val="center"/>
              <w:rPr/>
            </w:pPr>
            <w:r>
              <w:rPr/>
              <w:t>Date of Payment</w:t>
            </w:r>
          </w:p>
        </w:tc>
        <w:tc>
          <w:tcPr>
            <w:tcW w:w="154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32" w:type="dxa"/>
            <w:tcBorders/>
            <w:vAlign w:val="center"/>
          </w:tcPr>
          <w:p>
            <w:pPr>
              <w:pStyle w:val="TableContents"/>
              <w:bidi w:val="0"/>
              <w:spacing w:before="0" w:after="283"/>
              <w:jc w:val="left"/>
              <w:rPr/>
            </w:pPr>
            <w:r>
              <w:rPr/>
              <w:t>ADS (1 ADS equals 3 Class A ordinary shares)</w:t>
            </w:r>
          </w:p>
        </w:tc>
        <w:tc>
          <w:tcPr>
            <w:tcW w:w="1118" w:type="dxa"/>
            <w:tcBorders/>
            <w:vAlign w:val="center"/>
          </w:tcPr>
          <w:p>
            <w:pPr>
              <w:pStyle w:val="TableContents"/>
              <w:bidi w:val="0"/>
              <w:spacing w:before="0" w:after="283"/>
              <w:jc w:val="left"/>
              <w:rPr/>
            </w:pPr>
            <w:r>
              <w:rPr/>
              <w:t>09/04/2018</w:t>
            </w:r>
          </w:p>
        </w:tc>
        <w:tc>
          <w:tcPr>
            <w:tcW w:w="1462" w:type="dxa"/>
            <w:tcBorders/>
            <w:vAlign w:val="center"/>
          </w:tcPr>
          <w:p>
            <w:pPr>
              <w:pStyle w:val="TableContents"/>
              <w:bidi w:val="0"/>
              <w:spacing w:before="0" w:after="283"/>
              <w:jc w:val="left"/>
              <w:rPr/>
            </w:pPr>
            <w:r>
              <w:rPr/>
              <w:t>Acquired from historical acquisitions by the issuer before its IPO</w:t>
            </w:r>
          </w:p>
        </w:tc>
        <w:tc>
          <w:tcPr>
            <w:tcW w:w="1179" w:type="dxa"/>
            <w:tcBorders/>
            <w:vAlign w:val="center"/>
          </w:tcPr>
          <w:p>
            <w:pPr>
              <w:pStyle w:val="TableContents"/>
              <w:bidi w:val="0"/>
              <w:spacing w:before="0" w:after="283"/>
              <w:jc w:val="left"/>
              <w:rPr/>
            </w:pPr>
            <w:r>
              <w:rPr/>
              <w:t>Issuer</w:t>
            </w:r>
          </w:p>
        </w:tc>
        <w:tc>
          <w:tcPr>
            <w:tcW w:w="52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8"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pPr>
            <w:r>
              <w:rPr/>
              <w:t>1108890</w:t>
            </w:r>
          </w:p>
        </w:tc>
        <w:tc>
          <w:tcPr>
            <w:tcW w:w="1060" w:type="dxa"/>
            <w:tcBorders/>
            <w:vAlign w:val="center"/>
          </w:tcPr>
          <w:p>
            <w:pPr>
              <w:pStyle w:val="TableContents"/>
              <w:bidi w:val="0"/>
              <w:spacing w:before="0" w:after="283"/>
              <w:jc w:val="left"/>
              <w:rPr/>
            </w:pPr>
            <w:r>
              <w:rPr/>
              <w:t>09/04/2018</w:t>
            </w:r>
          </w:p>
        </w:tc>
        <w:tc>
          <w:tcPr>
            <w:tcW w:w="1540" w:type="dxa"/>
            <w:tcBorders/>
            <w:vAlign w:val="center"/>
          </w:tcPr>
          <w:p>
            <w:pPr>
              <w:pStyle w:val="TableContents"/>
              <w:bidi w:val="0"/>
              <w:spacing w:before="0" w:after="283"/>
              <w:jc w:val="left"/>
              <w:rPr/>
            </w:pPr>
            <w:r>
              <w:rPr/>
              <w:t>Shareholding of the target company being acquired by the issuer</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609"/>
        <w:gridCol w:w="7596"/>
      </w:tblGrid>
      <w:tr>
        <w:trPr/>
        <w:tc>
          <w:tcPr>
            <w:tcW w:w="2609" w:type="dxa"/>
            <w:tcBorders/>
            <w:vAlign w:val="center"/>
          </w:tcPr>
          <w:p>
            <w:pPr>
              <w:pStyle w:val="TableContents"/>
              <w:bidi w:val="0"/>
              <w:spacing w:before="0" w:after="283"/>
              <w:jc w:val="left"/>
              <w:rPr/>
            </w:pPr>
            <w:r>
              <w:rPr/>
              <w:t>Remarks</w:t>
            </w:r>
          </w:p>
        </w:tc>
        <w:tc>
          <w:tcPr>
            <w:tcW w:w="7596" w:type="dxa"/>
            <w:tcBorders/>
            <w:vAlign w:val="center"/>
          </w:tcPr>
          <w:p>
            <w:pPr>
              <w:pStyle w:val="TableContents"/>
              <w:bidi w:val="0"/>
              <w:spacing w:before="0" w:after="283"/>
              <w:jc w:val="left"/>
              <w:rPr>
                <w:sz w:val="4"/>
                <w:szCs w:val="4"/>
              </w:rPr>
            </w:pPr>
            <w:r>
              <w:rPr>
                <w:sz w:val="4"/>
                <w:szCs w:val="4"/>
              </w:rPr>
            </w:r>
          </w:p>
        </w:tc>
      </w:tr>
      <w:tr>
        <w:trPr/>
        <w:tc>
          <w:tcPr>
            <w:tcW w:w="2609" w:type="dxa"/>
            <w:tcBorders/>
            <w:vAlign w:val="center"/>
          </w:tcPr>
          <w:p>
            <w:pPr>
              <w:pStyle w:val="TableContents"/>
              <w:bidi w:val="0"/>
              <w:spacing w:before="0" w:after="283"/>
              <w:jc w:val="left"/>
              <w:rPr/>
            </w:pPr>
            <w:r>
              <w:rPr/>
              <w:t>Date of Notice</w:t>
            </w:r>
          </w:p>
        </w:tc>
        <w:tc>
          <w:tcPr>
            <w:tcW w:w="7596" w:type="dxa"/>
            <w:tcBorders/>
            <w:vAlign w:val="center"/>
          </w:tcPr>
          <w:p>
            <w:pPr>
              <w:pStyle w:val="TableContents"/>
              <w:bidi w:val="0"/>
              <w:spacing w:before="0" w:after="0"/>
              <w:jc w:val="left"/>
              <w:rPr/>
            </w:pPr>
            <w:r>
              <w:rPr/>
              <w:t>09/21/2026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609" w:type="dxa"/>
            <w:tcBorders/>
            <w:vAlign w:val="center"/>
          </w:tcPr>
          <w:p>
            <w:pPr>
              <w:pStyle w:val="TableContents"/>
              <w:bidi w:val="0"/>
              <w:spacing w:before="0" w:after="283"/>
              <w:jc w:val="left"/>
              <w:rPr/>
            </w:pPr>
            <w:r>
              <w:rPr/>
              <w:t>Signature</w:t>
            </w:r>
          </w:p>
        </w:tc>
        <w:tc>
          <w:tcPr>
            <w:tcW w:w="7596" w:type="dxa"/>
            <w:tcBorders/>
            <w:vAlign w:val="center"/>
          </w:tcPr>
          <w:p>
            <w:pPr>
              <w:pStyle w:val="TableContents"/>
              <w:bidi w:val="0"/>
              <w:spacing w:before="0" w:after="0"/>
              <w:jc w:val="left"/>
              <w:rPr/>
            </w:pPr>
            <w:r>
              <w:rPr/>
              <w:t>Goldman Sachs &amp; Co. LLC on behalf of YIGANG SHAN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617</Words>
  <Characters>3088</Characters>
  <CharactersWithSpaces>3651</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