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KE Holdings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Oriental Electronic Technology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2 Chuangye Road, 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760" w:type="dxa"/>
            <w:vAlign w:val="bottom"/>
            <w:tcBorders>
              <w:bottom w:val="single" w:sz="8" w:color="auto"/>
            </w:tcBorders>
            <w:gridSpan w:val="4"/>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gridSpan w:val="3"/>
          </w:tcPr>
          <w:p>
            <w:pPr>
              <w:jc w:val="center"/>
              <w:ind w:left="490"/>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Seventh Amended and Restated Memorandum and Articles of Association</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20" w:type="dxa"/>
            <w:vAlign w:val="bottom"/>
          </w:tcPr>
          <w:p>
            <w:pPr>
              <w:spacing w:after="0"/>
              <w:rPr>
                <w:sz w:val="17"/>
                <w:szCs w:val="17"/>
                <w:color w:val="auto"/>
              </w:rPr>
            </w:pPr>
          </w:p>
        </w:tc>
        <w:tc>
          <w:tcPr>
            <w:tcW w:w="988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Press Release—KE Holdings Inc. Announces Results of Annual General Meeting</w:t>
            </w:r>
          </w:p>
        </w:tc>
      </w:tr>
      <w:tr>
        <w:trPr>
          <w:trHeight w:val="20"/>
        </w:trPr>
        <w:tc>
          <w:tcPr>
            <w:tcW w:w="5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520" w:type="dxa"/>
            <w:vAlign w:val="bottom"/>
          </w:tcPr>
          <w:p>
            <w:pPr>
              <w:spacing w:after="0"/>
              <w:rPr>
                <w:sz w:val="17"/>
                <w:szCs w:val="17"/>
                <w:color w:val="auto"/>
              </w:rPr>
            </w:pPr>
          </w:p>
        </w:tc>
        <w:tc>
          <w:tcPr>
            <w:tcW w:w="988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0000EE"/>
              </w:rPr>
              <w:t>Announcement—Poll Results of the Annual General Meeting Held on June 12, 2026</w:t>
            </w:r>
          </w:p>
        </w:tc>
      </w:tr>
      <w:tr>
        <w:trPr>
          <w:trHeight w:val="695"/>
        </w:trPr>
        <w:tc>
          <w:tcPr>
            <w:tcW w:w="52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Tao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XU Tao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11"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highlight w:val="black"/>
        </w:rPr>
        <w:t>贝壳控股有限公司</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June 12, 2026 and effective immediately)</w:t>
      </w:r>
    </w:p>
    <w:p>
      <w:pPr>
        <w:spacing w:after="0" w:line="239" w:lineRule="exact"/>
        <w:rPr>
          <w:sz w:val="20"/>
          <w:szCs w:val="20"/>
          <w:color w:val="auto"/>
        </w:rPr>
      </w:pPr>
    </w:p>
    <w:p>
      <w:pPr>
        <w:ind w:left="500" w:hanging="492"/>
        <w:spacing w:after="0" w:line="219" w:lineRule="exact"/>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KE Holdings Inc. (</w:t>
      </w:r>
      <w:r>
        <w:rPr>
          <w:rFonts w:ascii="PMingLiU" w:cs="PMingLiU" w:eastAsia="PMingLiU" w:hAnsi="PMingLiU"/>
          <w:sz w:val="18"/>
          <w:szCs w:val="18"/>
          <w:color w:val="auto"/>
        </w:rPr>
        <w:t>贝壳控股有限公司</w:t>
      </w: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is situated at the offices of Ascentium (Cayman) Limited, 4th Floor, Harbour Place, 103 South Church Street, P.O. Box 10240, Grand Cayman KY1-1002, Cayman Islands, or at such other location within the Cayman Islands as the Directors may from time to time determine.</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US$500,000 divided into 25,000,000,000 shares, comprising (i) 24,114,698,720 Class A ordinary shares with a par value of US$0.00002 each and (ii) 885,301,280 Class B ordinary shares with a par value of US$0.00002 each.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be de-registered in the Cayman Islands and transfer and be registered by way of continuation under the laws of any jurisdiction outside the Cayman Islands.</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meanings as those given in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11"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highlight w:val="black"/>
        </w:rPr>
        <w:t>贝壳控股有限公司</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June 12, 2026 and effective immediately)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“ADS”</w:t>
            </w: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an American Depositary Share representing Class A Ordinary Shares;</w:t>
            </w:r>
          </w:p>
        </w:tc>
      </w:tr>
      <w:tr>
        <w:trPr>
          <w:trHeight w:val="414"/>
        </w:trPr>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 intermediaries, controls,</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is controlled by, or is under common control with, such Person, and (i) in the case of a natural person, shall include,</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without limitation, such person’s spouse, parents, children, siblings, mother-in-law, father-in-law, brothers-in-law and</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sisters-in-law, a trust for the benefit of any of the foregoing, and a corporation, partnership or any other entity wholly or</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jointly owned by any of the foregoing, and (ii) in the case of an entity, shall include a partnership, a corporation or any</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entity or any natural person which directly, or indirectly through one or more intermediaries, controls, is</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controlled by, or is under common control with, such entity. The term “control”, for the purpose of this defined term of</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“Affiliate” only, shall mean the ownership, directly or indirectly, of shares possessing more than fifty per cent (50%) of</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voting power of the corporation, partnership or other entity (other than, in the case of a corporation, securities</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having such power only by reason of the happening of a contingency), or having the power to control the management</w:t>
            </w:r>
          </w:p>
        </w:tc>
      </w:tr>
      <w:tr>
        <w:trPr>
          <w:trHeight w:val="216"/>
        </w:trPr>
        <w:tc>
          <w:tcPr>
            <w:tcW w:w="198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or elect a majority of members to the board of directors or equivalent decision-making body of such corporation,</w:t>
            </w:r>
          </w:p>
        </w:tc>
      </w:tr>
      <w:tr>
        <w:trPr>
          <w:trHeight w:val="234"/>
        </w:trPr>
        <w:tc>
          <w:tcPr>
            <w:tcW w:w="1980" w:type="dxa"/>
            <w:vAlign w:val="bottom"/>
          </w:tcPr>
          <w:p>
            <w:pPr>
              <w:spacing w:after="0"/>
              <w:rPr>
                <w:sz w:val="20"/>
                <w:szCs w:val="20"/>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partnership or other entity;</w:t>
            </w:r>
          </w:p>
        </w:tc>
      </w:tr>
      <w:tr>
        <w:trPr>
          <w:trHeight w:val="432"/>
        </w:trPr>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or substituted from time to time;</w:t>
            </w:r>
          </w:p>
        </w:tc>
      </w:tr>
      <w:tr>
        <w:trPr>
          <w:trHeight w:val="432"/>
        </w:trPr>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auditors for the time being of the Company, if any;</w:t>
            </w:r>
          </w:p>
        </w:tc>
      </w:tr>
      <w:tr>
        <w:trPr>
          <w:trHeight w:val="648"/>
        </w:trPr>
        <w:tc>
          <w:tcPr>
            <w:tcW w:w="19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“Board” and “Board of</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Directors assembled as a board or as a committee thereof;</w:t>
            </w:r>
          </w:p>
        </w:tc>
      </w:tr>
      <w:tr>
        <w:trPr>
          <w:trHeight w:val="238"/>
        </w:trPr>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440" w:type="dxa"/>
            <w:vAlign w:val="bottom"/>
          </w:tcPr>
          <w:p>
            <w:pPr>
              <w:spacing w:after="0"/>
              <w:rPr>
                <w:sz w:val="20"/>
                <w:szCs w:val="20"/>
                <w:color w:val="auto"/>
              </w:rPr>
            </w:pPr>
          </w:p>
        </w:tc>
      </w:tr>
      <w:tr>
        <w:trPr>
          <w:trHeight w:val="432"/>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432"/>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“Class” or “Classes”</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 the Company;</w:t>
            </w:r>
          </w:p>
        </w:tc>
      </w:tr>
      <w:tr>
        <w:trPr>
          <w:trHeight w:val="414"/>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“Class A Ordinary Share”</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 ordinary share of the Company with a nominal or par value of US$0.00002, designated as a Class A</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 having the rights set out in these Articles;</w:t>
            </w:r>
          </w:p>
        </w:tc>
      </w:tr>
      <w:tr>
        <w:trPr>
          <w:trHeight w:val="414"/>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“Class B Ordinary Share”</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 ordinary share of the Company with a nominal or par value of US$0.00002, designated as a Class B</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 having the rights set out in these Articles;</w:t>
            </w:r>
          </w:p>
        </w:tc>
      </w:tr>
      <w:tr>
        <w:trPr>
          <w:trHeight w:val="441"/>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“Co-Founders”</w:t>
            </w:r>
          </w:p>
        </w:tc>
        <w:tc>
          <w:tcPr>
            <w:tcW w:w="8440" w:type="dxa"/>
            <w:vAlign w:val="bottom"/>
          </w:tcPr>
          <w:p>
            <w:pPr>
              <w:ind w:left="120"/>
              <w:spacing w:after="0" w:line="219" w:lineRule="exact"/>
              <w:rPr>
                <w:sz w:val="20"/>
                <w:szCs w:val="20"/>
                <w:color w:val="auto"/>
              </w:rPr>
            </w:pPr>
            <w:r>
              <w:rPr>
                <w:rFonts w:ascii="Times New Roman" w:cs="Times New Roman" w:eastAsia="Times New Roman" w:hAnsi="Times New Roman"/>
                <w:sz w:val="18"/>
                <w:szCs w:val="18"/>
                <w:color w:val="auto"/>
              </w:rPr>
              <w:t xml:space="preserve">Mr. Yongdong Peng (name in Chinese </w:t>
            </w:r>
            <w:r>
              <w:rPr>
                <w:rFonts w:ascii="PMingLiU" w:cs="PMingLiU" w:eastAsia="PMingLiU" w:hAnsi="PMingLiU"/>
                <w:sz w:val="18"/>
                <w:szCs w:val="18"/>
                <w:color w:val="auto"/>
              </w:rPr>
              <w:t>彭永東</w:t>
            </w:r>
            <w:r>
              <w:rPr>
                <w:rFonts w:ascii="Times New Roman" w:cs="Times New Roman" w:eastAsia="Times New Roman" w:hAnsi="Times New Roman"/>
                <w:sz w:val="18"/>
                <w:szCs w:val="18"/>
                <w:color w:val="auto"/>
              </w:rPr>
              <w:t xml:space="preserve">) and Mr. Yigang Shan (name in Chinese </w:t>
            </w:r>
            <w:r>
              <w:rPr>
                <w:rFonts w:ascii="PMingLiU" w:cs="PMingLiU" w:eastAsia="PMingLiU" w:hAnsi="PMingLiU"/>
                <w:sz w:val="18"/>
                <w:szCs w:val="18"/>
                <w:color w:val="auto"/>
              </w:rPr>
              <w:t>單一剛</w:t>
            </w:r>
            <w:r>
              <w:rPr>
                <w:rFonts w:ascii="Times New Roman" w:cs="Times New Roman" w:eastAsia="Times New Roman" w:hAnsi="Times New Roman"/>
                <w:sz w:val="18"/>
                <w:szCs w:val="18"/>
                <w:color w:val="auto"/>
              </w:rPr>
              <w:t>), each of whom, a</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“Co-Founder”;</w:t>
            </w:r>
          </w:p>
        </w:tc>
      </w:tr>
      <w:tr>
        <w:trPr>
          <w:trHeight w:val="414"/>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 for</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time being administering the Securities Act;</w:t>
            </w:r>
          </w:p>
        </w:tc>
      </w:tr>
      <w:tr>
        <w:trPr>
          <w:trHeight w:val="414"/>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“Communication Facilities”</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video, video-conferencing, internet or online conferencing applications, telephone or tele-conferencing</w:t>
            </w:r>
          </w:p>
        </w:tc>
      </w:tr>
      <w:tr>
        <w:trPr>
          <w:trHeight w:val="216"/>
        </w:trPr>
        <w:tc>
          <w:tcPr>
            <w:tcW w:w="280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and/or any other video-communications, internet or online conferencing application or telecommunications</w:t>
            </w:r>
          </w:p>
        </w:tc>
      </w:tr>
      <w:tr>
        <w:trPr>
          <w:trHeight w:val="216"/>
        </w:trPr>
        <w:tc>
          <w:tcPr>
            <w:tcW w:w="280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facilities by means of which all Persons participating in a meeting are capable of hearing and being heard by each</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r>
      <w:tr>
        <w:trPr>
          <w:trHeight w:val="414"/>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and any statutory amendment or re-enactment</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thereof;</w:t>
            </w:r>
          </w:p>
        </w:tc>
      </w:tr>
      <w:tr>
        <w:trPr>
          <w:trHeight w:val="414"/>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“Companies Ordinance”</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Companies Ordinance (Chapter 622 of the Laws of Hong Kong) and every other ordinance incorporated</w:t>
            </w:r>
          </w:p>
        </w:tc>
      </w:tr>
      <w:tr>
        <w:trPr>
          <w:trHeight w:val="216"/>
        </w:trPr>
        <w:tc>
          <w:tcPr>
            <w:tcW w:w="280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therewith or substituted therefor; and in the case of any such substitution the references in these Articles to the</w:t>
            </w:r>
          </w:p>
        </w:tc>
      </w:tr>
      <w:tr>
        <w:trPr>
          <w:trHeight w:val="216"/>
        </w:trPr>
        <w:tc>
          <w:tcPr>
            <w:tcW w:w="280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 of the Companies Ordinance shall be read as references to the provisions substituted therefor in the new</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ordinance;</w:t>
            </w:r>
          </w:p>
        </w:tc>
      </w:tr>
      <w:tr>
        <w:trPr>
          <w:trHeight w:val="445"/>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440" w:type="dxa"/>
            <w:vAlign w:val="bottom"/>
          </w:tcPr>
          <w:p>
            <w:pPr>
              <w:ind w:left="120"/>
              <w:spacing w:after="0" w:line="219" w:lineRule="exact"/>
              <w:rPr>
                <w:sz w:val="20"/>
                <w:szCs w:val="20"/>
                <w:color w:val="auto"/>
              </w:rPr>
            </w:pPr>
            <w:r>
              <w:rPr>
                <w:rFonts w:ascii="Times New Roman" w:cs="Times New Roman" w:eastAsia="Times New Roman" w:hAnsi="Times New Roman"/>
                <w:sz w:val="18"/>
                <w:szCs w:val="18"/>
                <w:color w:val="auto"/>
              </w:rPr>
              <w:t>means KE Holdings Inc. (</w:t>
            </w:r>
            <w:r>
              <w:rPr>
                <w:rFonts w:ascii="PMingLiU" w:cs="PMingLiU" w:eastAsia="PMingLiU" w:hAnsi="PMingLiU"/>
                <w:sz w:val="18"/>
                <w:szCs w:val="18"/>
                <w:color w:val="auto"/>
              </w:rPr>
              <w:t>贝壳控股有限公司</w:t>
            </w:r>
            <w:r>
              <w:rPr>
                <w:rFonts w:ascii="Times New Roman" w:cs="Times New Roman" w:eastAsia="Times New Roman" w:hAnsi="Times New Roman"/>
                <w:sz w:val="18"/>
                <w:szCs w:val="18"/>
                <w:color w:val="auto"/>
              </w:rPr>
              <w:t>), a Cayman Islands exempted company;</w:t>
            </w:r>
          </w:p>
        </w:tc>
      </w:tr>
      <w:tr>
        <w:trPr>
          <w:trHeight w:val="427"/>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main corporate/investor relations website of the Company, the address or domain name of which has</w:t>
            </w:r>
          </w:p>
        </w:tc>
      </w:tr>
      <w:tr>
        <w:trPr>
          <w:trHeight w:val="216"/>
        </w:trPr>
        <w:tc>
          <w:tcPr>
            <w:tcW w:w="280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been disclosed in any registration statement filed by the Company with the Commission in connection with its</w:t>
            </w:r>
          </w:p>
        </w:tc>
      </w:tr>
      <w:tr>
        <w:trPr>
          <w:trHeight w:val="234"/>
        </w:trPr>
        <w:tc>
          <w:tcPr>
            <w:tcW w:w="280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public offering of ADSs, or which has otherwise been notified to Shareholders;</w:t>
            </w:r>
          </w:p>
        </w:tc>
      </w:tr>
      <w:tr>
        <w:trPr>
          <w:trHeight w:val="432"/>
        </w:trPr>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“Compliance Adviser”</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meaning given to it in the HKSE Listing Rules;</w:t>
            </w:r>
          </w:p>
        </w:tc>
      </w:tr>
      <w:tr>
        <w:trPr>
          <w:trHeight w:val="648"/>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“Corporate</w:t>
      </w:r>
      <w:r>
        <w:rPr>
          <w:sz w:val="20"/>
          <w:szCs w:val="20"/>
          <w:color w:val="auto"/>
        </w:rPr>
        <w:tab/>
      </w:r>
      <w:r>
        <w:rPr>
          <w:rFonts w:ascii="Times New Roman" w:cs="Times New Roman" w:eastAsia="Times New Roman" w:hAnsi="Times New Roman"/>
          <w:sz w:val="18"/>
          <w:szCs w:val="18"/>
          <w:color w:val="auto"/>
        </w:rPr>
        <w:t>means the corporate governance committee of the Board established in accordance with Article 145;</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3" w:lineRule="exact"/>
        <w:rPr>
          <w:sz w:val="20"/>
          <w:szCs w:val="20"/>
          <w:color w:val="auto"/>
        </w:rPr>
      </w:pPr>
    </w:p>
    <w:p>
      <w:pPr>
        <w:ind w:left="16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“Corporate</w:t>
      </w:r>
      <w:r>
        <w:rPr>
          <w:sz w:val="20"/>
          <w:szCs w:val="20"/>
          <w:color w:val="auto"/>
        </w:rPr>
        <w:t xml:space="preserve"> </w:t>
      </w:r>
      <w:r>
        <w:rPr>
          <w:rFonts w:ascii="Times New Roman" w:cs="Times New Roman" w:eastAsia="Times New Roman" w:hAnsi="Times New Roman"/>
          <w:sz w:val="18"/>
          <w:szCs w:val="18"/>
          <w:color w:val="auto"/>
        </w:rPr>
        <w:t xml:space="preserve">means the corporate governance report to be included in the Company’s annual reports or summary financial reports, if any, in </w:t>
      </w: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accordance with the HKSE Listing Rules;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“Designated Stock </w:t>
      </w:r>
      <w:r>
        <w:rPr>
          <w:rFonts w:ascii="Times New Roman" w:cs="Times New Roman" w:eastAsia="Times New Roman" w:hAnsi="Times New Roman"/>
          <w:sz w:val="18"/>
          <w:szCs w:val="18"/>
          <w:color w:val="auto"/>
        </w:rPr>
        <w:t>means the NYSE for so long as the Company’s Shares or ADSs are there listed, the HKSE for so long as the Company’s Shares</w:t>
      </w:r>
    </w:p>
    <w:p>
      <w:pPr>
        <w:spacing w:after="0" w:line="31" w:lineRule="exact"/>
        <w:rPr>
          <w:sz w:val="20"/>
          <w:szCs w:val="20"/>
          <w:color w:val="auto"/>
        </w:rPr>
      </w:pPr>
    </w:p>
    <w:p>
      <w:pPr>
        <w:jc w:val="both"/>
        <w:ind w:left="1440" w:hanging="1279"/>
        <w:spacing w:after="0" w:line="260"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Exchange”</w:t>
      </w:r>
      <w:r>
        <w:rPr>
          <w:sz w:val="20"/>
          <w:szCs w:val="20"/>
          <w:color w:val="auto"/>
        </w:rPr>
        <w:tab/>
      </w:r>
      <w:r>
        <w:rPr>
          <w:rFonts w:ascii="Times New Roman" w:cs="Times New Roman" w:eastAsia="Times New Roman" w:hAnsi="Times New Roman"/>
          <w:sz w:val="18"/>
          <w:szCs w:val="18"/>
          <w:color w:val="auto"/>
        </w:rPr>
        <w:t>or ADSs are there listed and any other securities exchange or other system on which any Shares or ADSs are listed or authorised for trading from time to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“Designated Stock </w:t>
      </w:r>
      <w:r>
        <w:rPr>
          <w:rFonts w:ascii="Times New Roman" w:cs="Times New Roman" w:eastAsia="Times New Roman" w:hAnsi="Times New Roman"/>
          <w:sz w:val="18"/>
          <w:szCs w:val="18"/>
          <w:color w:val="auto"/>
        </w:rPr>
        <w:t>means the relevant code, rules and regulations, as amended, from time to time, applicable as a result of the original and</w:t>
      </w:r>
    </w:p>
    <w:p>
      <w:pPr>
        <w:spacing w:after="0" w:line="31" w:lineRule="exact"/>
        <w:rPr>
          <w:sz w:val="20"/>
          <w:szCs w:val="20"/>
          <w:color w:val="auto"/>
        </w:rPr>
      </w:pPr>
    </w:p>
    <w:p>
      <w:pPr>
        <w:ind w:left="1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Exchange</w:t>
      </w:r>
      <w:r>
        <w:rPr>
          <w:sz w:val="20"/>
          <w:szCs w:val="20"/>
          <w:color w:val="auto"/>
        </w:rPr>
        <w:tab/>
      </w:r>
      <w:r>
        <w:rPr>
          <w:rFonts w:ascii="Times New Roman" w:cs="Times New Roman" w:eastAsia="Times New Roman" w:hAnsi="Times New Roman"/>
          <w:sz w:val="18"/>
          <w:szCs w:val="18"/>
          <w:color w:val="auto"/>
        </w:rPr>
        <w:t>continued listing of any Shares or ADSs on the Designated Stock Exchange;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Rules”</w:t>
      </w:r>
    </w:p>
    <w:p>
      <w:pPr>
        <w:spacing w:after="0" w:line="20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means a member of the Board of Directors;</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means a limited partnership, trust, private company or other vehicle wholly-owned and wholly-controlled by a Co-Founder,</w:t>
      </w:r>
    </w:p>
    <w:p>
      <w:pPr>
        <w:spacing w:after="0" w:line="31" w:lineRule="exact"/>
        <w:rPr>
          <w:sz w:val="20"/>
          <w:szCs w:val="20"/>
          <w:color w:val="auto"/>
        </w:rPr>
      </w:pPr>
    </w:p>
    <w:p>
      <w:pPr>
        <w:ind w:left="1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Holding</w:t>
      </w:r>
      <w:r>
        <w:rPr>
          <w:sz w:val="20"/>
          <w:szCs w:val="20"/>
          <w:color w:val="auto"/>
        </w:rPr>
        <w:tab/>
      </w:r>
      <w:r>
        <w:rPr>
          <w:rFonts w:ascii="Times New Roman" w:cs="Times New Roman" w:eastAsia="Times New Roman" w:hAnsi="Times New Roman"/>
          <w:sz w:val="18"/>
          <w:szCs w:val="18"/>
          <w:color w:val="auto"/>
        </w:rPr>
        <w:t>where (i) in the case of a limited partnership, the terms of the limited partnership must expressly specify that the voting rights</w:t>
      </w:r>
    </w:p>
    <w:p>
      <w:pPr>
        <w:spacing w:after="0" w:line="9" w:lineRule="exact"/>
        <w:rPr>
          <w:sz w:val="20"/>
          <w:szCs w:val="20"/>
          <w:color w:val="auto"/>
        </w:rPr>
      </w:pPr>
    </w:p>
    <w:p>
      <w:pPr>
        <w:jc w:val="both"/>
        <w:ind w:left="1440" w:hanging="1279"/>
        <w:spacing w:after="0" w:line="253"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Vehicle”</w:t>
      </w:r>
      <w:r>
        <w:rPr>
          <w:sz w:val="20"/>
          <w:szCs w:val="20"/>
          <w:color w:val="auto"/>
        </w:rPr>
        <w:tab/>
      </w:r>
      <w:r>
        <w:rPr>
          <w:rFonts w:ascii="Times New Roman" w:cs="Times New Roman" w:eastAsia="Times New Roman" w:hAnsi="Times New Roman"/>
          <w:sz w:val="18"/>
          <w:szCs w:val="18"/>
          <w:color w:val="auto"/>
        </w:rPr>
        <w:t>attached to such shares are solely dictated by the Co-Founder; (ii) in the case of a trust, the Co-Founder must in substance retain an element of control of the trust and any immediate holding companies; and the purpose of the trust must be for estate planning and/or tax planning purposes; and (iii) in the case of a private company or other vehicle, the Co-Founder (or a trust referred to in (ii) above) must wholly own and control that vehicle at all relevant times;</w:t>
      </w:r>
    </w:p>
    <w:p>
      <w:pPr>
        <w:spacing w:after="0" w:line="185" w:lineRule="exact"/>
        <w:rPr>
          <w:sz w:val="20"/>
          <w:szCs w:val="20"/>
          <w:color w:val="auto"/>
        </w:rPr>
      </w:pPr>
    </w:p>
    <w:p>
      <w:pPr>
        <w:ind w:left="1440" w:right="20" w:hanging="1439"/>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 and any amendment thereto or re-enactments thereof for the time being in force and includes every other law incorporated therewith or substituted therefor;</w:t>
      </w:r>
    </w:p>
    <w:p>
      <w:pPr>
        <w:spacing w:after="0" w:line="162"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 xml:space="preserve"> </w:t>
      </w:r>
      <w:r>
        <w:rPr>
          <w:rFonts w:ascii="Times New Roman" w:cs="Times New Roman" w:eastAsia="Times New Roman" w:hAnsi="Times New Roman"/>
          <w:sz w:val="18"/>
          <w:szCs w:val="18"/>
          <w:color w:val="auto"/>
        </w:rPr>
        <w:t xml:space="preserve">means electronic posting to the Company’s Website, transmission to any number, address or internet website or other electronic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delivery methods as otherwise decided and approved by not less than two-thirds of the votes of the Board;</w:t>
      </w:r>
    </w:p>
    <w:p>
      <w:pPr>
        <w:spacing w:after="0" w:line="16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 and any amendment thereto or re-enactments thereof for the time</w:t>
      </w:r>
    </w:p>
    <w:p>
      <w:pPr>
        <w:spacing w:after="0" w:line="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record”</w:t>
      </w:r>
      <w:r>
        <w:rPr>
          <w:sz w:val="20"/>
          <w:szCs w:val="20"/>
          <w:color w:val="auto"/>
        </w:rPr>
        <w:tab/>
      </w:r>
      <w:r>
        <w:rPr>
          <w:rFonts w:ascii="Times New Roman" w:cs="Times New Roman" w:eastAsia="Times New Roman" w:hAnsi="Times New Roman"/>
          <w:sz w:val="18"/>
          <w:szCs w:val="18"/>
          <w:color w:val="auto"/>
        </w:rPr>
        <w:t>being in force and includes every other law incorporated therewith or substituted therefor;</w:t>
      </w:r>
    </w:p>
    <w:p>
      <w:pPr>
        <w:spacing w:after="0" w:line="203" w:lineRule="exact"/>
        <w:rPr>
          <w:sz w:val="20"/>
          <w:szCs w:val="20"/>
          <w:color w:val="auto"/>
        </w:rPr>
      </w:pPr>
    </w:p>
    <w:p>
      <w:pPr>
        <w:ind w:left="160" w:hanging="161"/>
        <w:spacing w:after="0" w:line="261" w:lineRule="auto"/>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 xml:space="preserve"> </w:t>
      </w:r>
      <w:r>
        <w:rPr>
          <w:rFonts w:ascii="Times New Roman" w:cs="Times New Roman" w:eastAsia="Times New Roman" w:hAnsi="Times New Roman"/>
          <w:sz w:val="18"/>
          <w:szCs w:val="18"/>
          <w:color w:val="auto"/>
        </w:rPr>
        <w:t xml:space="preserve">means the Electronic Transactions Act (As Revised) of the Cayman Islands and any statutory amendment or re-enactment </w:t>
      </w: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color w:val="auto"/>
        </w:rPr>
        <w:t>thereof;</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Act”</w:t>
      </w:r>
    </w:p>
    <w:p>
      <w:pPr>
        <w:spacing w:after="0" w:line="200" w:lineRule="exact"/>
        <w:rPr>
          <w:sz w:val="20"/>
          <w:szCs w:val="20"/>
          <w:color w:val="auto"/>
        </w:rPr>
      </w:pPr>
    </w:p>
    <w:p>
      <w:pPr>
        <w:spacing w:after="0" w:line="2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840" w:top="900" w:right="339" w:bottom="1440" w:gutter="0" w:footer="0" w:header="0"/>
        </w:sectPr>
      </w:pPr>
    </w:p>
    <w:bookmarkStart w:id="7" w:name="page8"/>
    <w:bookmarkEnd w:id="7"/>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“Executive</w:t>
      </w:r>
      <w:r>
        <w:rPr>
          <w:sz w:val="20"/>
          <w:szCs w:val="20"/>
          <w:color w:val="auto"/>
        </w:rPr>
        <w:tab/>
      </w:r>
      <w:r>
        <w:rPr>
          <w:rFonts w:ascii="Times New Roman" w:cs="Times New Roman" w:eastAsia="Times New Roman" w:hAnsi="Times New Roman"/>
          <w:sz w:val="18"/>
          <w:szCs w:val="18"/>
          <w:color w:val="auto"/>
        </w:rPr>
        <w:t>refers to a Director of the Company who (i) is neither an Independent Director, Independent Non-executive Director nor a</w:t>
      </w:r>
    </w:p>
    <w:p>
      <w:pPr>
        <w:spacing w:after="0" w:line="31" w:lineRule="exact"/>
        <w:rPr>
          <w:sz w:val="20"/>
          <w:szCs w:val="20"/>
          <w:color w:val="auto"/>
        </w:rPr>
      </w:pPr>
    </w:p>
    <w:p>
      <w:pPr>
        <w:jc w:val="both"/>
        <w:ind w:left="1400" w:hanging="1399"/>
        <w:spacing w:after="0" w:line="255"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Director who is affiliated with or was appointed to the Board by a holder or a group of affiliated holders of preferred shares and/or Class A Ordinary Shares converted from preferred shares of the Company prior to the completion of the Company’s initial public offering of ADSs in the United States and (ii) maintains employment relationship with the Company;</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“HKSE”</w:t>
      </w:r>
      <w:r>
        <w:rPr>
          <w:sz w:val="20"/>
          <w:szCs w:val="20"/>
          <w:color w:val="auto"/>
        </w:rPr>
        <w:tab/>
      </w:r>
      <w:r>
        <w:rPr>
          <w:rFonts w:ascii="Times New Roman" w:cs="Times New Roman" w:eastAsia="Times New Roman" w:hAnsi="Times New Roman"/>
          <w:sz w:val="18"/>
          <w:szCs w:val="18"/>
          <w:color w:val="auto"/>
        </w:rPr>
        <w:t>means The Stock Exchange of Hong Kong Limited;</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“HKSE Listing</w:t>
      </w:r>
      <w:r>
        <w:rPr>
          <w:sz w:val="20"/>
          <w:szCs w:val="20"/>
          <w:color w:val="auto"/>
        </w:rPr>
        <w:tab/>
      </w:r>
      <w:r>
        <w:rPr>
          <w:rFonts w:ascii="Times New Roman" w:cs="Times New Roman" w:eastAsia="Times New Roman" w:hAnsi="Times New Roman"/>
          <w:sz w:val="18"/>
          <w:szCs w:val="18"/>
          <w:color w:val="auto"/>
        </w:rPr>
        <w:t>means the Rules Governing the Listing of Securities on The Stock Exchange of Hong Kong Limited as amended from time to</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Rules”</w:t>
      </w:r>
      <w:r>
        <w:rPr>
          <w:sz w:val="20"/>
          <w:szCs w:val="20"/>
          <w:color w:val="auto"/>
        </w:rPr>
        <w:tab/>
      </w: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28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w:t>
      </w:r>
      <w:r>
        <w:rPr>
          <w:rFonts w:ascii="Times New Roman" w:cs="Times New Roman" w:eastAsia="Times New Roman" w:hAnsi="Times New Roman"/>
          <w:sz w:val="18"/>
          <w:szCs w:val="18"/>
          <w:color w:val="auto"/>
        </w:rPr>
        <w:t>means a Director who is an independent director as defined in the NYSE Exchange Rules;</w:t>
      </w:r>
      <w:r>
        <w:rPr>
          <w:rFonts w:ascii="Times New Roman" w:cs="Times New Roman" w:eastAsia="Times New Roman" w:hAnsi="Times New Roman"/>
          <w:sz w:val="18"/>
          <w:szCs w:val="18"/>
          <w:b w:val="1"/>
          <w:bCs w:val="1"/>
          <w:color w:val="auto"/>
        </w:rPr>
        <w:t xml:space="preserve"> Director”</w:t>
      </w:r>
    </w:p>
    <w:p>
      <w:pPr>
        <w:spacing w:after="0" w:line="15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“Independent</w:t>
      </w:r>
      <w:r>
        <w:rPr>
          <w:sz w:val="20"/>
          <w:szCs w:val="20"/>
          <w:color w:val="auto"/>
        </w:rPr>
        <w:tab/>
      </w:r>
      <w:r>
        <w:rPr>
          <w:rFonts w:ascii="Times New Roman" w:cs="Times New Roman" w:eastAsia="Times New Roman" w:hAnsi="Times New Roman"/>
          <w:sz w:val="18"/>
          <w:szCs w:val="18"/>
          <w:color w:val="auto"/>
        </w:rPr>
        <w:t>means a Director recognised as such by the relevant code, rules and regulations applicable to the listing of shares on the HKSE;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of</w:t>
      </w:r>
      <w:r>
        <w:rPr>
          <w:rFonts w:ascii="Times New Roman" w:cs="Times New Roman" w:eastAsia="Times New Roman" w:hAnsi="Times New Roman"/>
          <w:sz w:val="18"/>
          <w:szCs w:val="18"/>
          <w:color w:val="auto"/>
        </w:rPr>
        <w:t>means the memorandum of association of the Company, as amended or substituted from time to time;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“Nomination</w:t>
      </w:r>
      <w:r>
        <w:rPr>
          <w:sz w:val="20"/>
          <w:szCs w:val="20"/>
          <w:color w:val="auto"/>
        </w:rPr>
        <w:tab/>
      </w:r>
      <w:r>
        <w:rPr>
          <w:rFonts w:ascii="Times New Roman" w:cs="Times New Roman" w:eastAsia="Times New Roman" w:hAnsi="Times New Roman"/>
          <w:sz w:val="18"/>
          <w:szCs w:val="18"/>
          <w:color w:val="auto"/>
        </w:rPr>
        <w:t>means the nomination committee of the Board established in accordance with Article 140;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“NYSE”</w:t>
      </w:r>
      <w:r>
        <w:rPr>
          <w:sz w:val="20"/>
          <w:szCs w:val="20"/>
          <w:color w:val="auto"/>
        </w:rPr>
        <w:tab/>
      </w:r>
      <w:r>
        <w:rPr>
          <w:rFonts w:ascii="Times New Roman" w:cs="Times New Roman" w:eastAsia="Times New Roman" w:hAnsi="Times New Roman"/>
          <w:sz w:val="18"/>
          <w:szCs w:val="18"/>
          <w:color w:val="auto"/>
        </w:rPr>
        <w:t>means the New York Stock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“NYSE Exchange </w:t>
      </w:r>
      <w:r>
        <w:rPr>
          <w:rFonts w:ascii="Times New Roman" w:cs="Times New Roman" w:eastAsia="Times New Roman" w:hAnsi="Times New Roman"/>
          <w:sz w:val="18"/>
          <w:szCs w:val="18"/>
          <w:color w:val="auto"/>
        </w:rPr>
        <w:t>means the relevant code, rules and regulations, as amended, from time to time, applicable as a result of the original and</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Rules”</w:t>
      </w:r>
      <w:r>
        <w:rPr>
          <w:sz w:val="20"/>
          <w:szCs w:val="20"/>
          <w:color w:val="auto"/>
        </w:rPr>
        <w:tab/>
      </w:r>
      <w:r>
        <w:rPr>
          <w:rFonts w:ascii="Times New Roman" w:cs="Times New Roman" w:eastAsia="Times New Roman" w:hAnsi="Times New Roman"/>
          <w:sz w:val="18"/>
          <w:szCs w:val="18"/>
          <w:color w:val="auto"/>
        </w:rPr>
        <w:t>continued listing of any Shares or ADSs on the NYSE;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9560" w:type="dxa"/>
            <w:vAlign w:val="bottom"/>
          </w:tcPr>
          <w:p>
            <w:pPr>
              <w:jc w:val="right"/>
              <w:ind w:right="7830"/>
              <w:spacing w:after="0"/>
              <w:rPr>
                <w:sz w:val="20"/>
                <w:szCs w:val="20"/>
                <w:color w:val="auto"/>
              </w:rPr>
            </w:pPr>
            <w:r>
              <w:rPr>
                <w:rFonts w:ascii="Times New Roman" w:cs="Times New Roman" w:eastAsia="Times New Roman" w:hAnsi="Times New Roman"/>
                <w:sz w:val="18"/>
                <w:szCs w:val="18"/>
                <w:color w:val="auto"/>
              </w:rPr>
              <w:t>means a resolution:</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9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        passed by a simple majority of the votes cast by such Shareholders as, being entitled to do so, vote in person or, where</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9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proxies are allowed, by proxy or, in the case of corporations, by their duly authorised representatives, at a general meeting</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9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of the Company held in accordance with these Articles; or</w:t>
            </w: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9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 in one or more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instruments each signed by one or more of the Shareholders and the effective date of the resolution so adopted shall be the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9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 on which the instrument, or the last of such instruments, if more than one, is executed;</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1400" w:right="20" w:hanging="1403"/>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means an ordinary share of the Company with a nominal or par value of US$0.00002, including a Class A Ordinary Share,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Ordinary Share;</w:t>
      </w:r>
    </w:p>
    <w:p>
      <w:pPr>
        <w:spacing w:after="0" w:line="37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840" w:top="900" w:right="339" w:bottom="1440" w:gutter="0" w:footer="0" w:header="0"/>
        </w:sectPr>
      </w:pPr>
    </w:p>
    <w:bookmarkStart w:id="8" w:name="page9"/>
    <w:bookmarkEnd w:id="8"/>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“paid up”</w:t>
      </w:r>
      <w:r>
        <w:rPr>
          <w:sz w:val="20"/>
          <w:szCs w:val="20"/>
          <w:color w:val="auto"/>
        </w:rPr>
        <w:tab/>
      </w:r>
      <w:r>
        <w:rPr>
          <w:rFonts w:ascii="Times New Roman" w:cs="Times New Roman" w:eastAsia="Times New Roman" w:hAnsi="Times New Roman"/>
          <w:sz w:val="17"/>
          <w:szCs w:val="17"/>
          <w:color w:val="auto"/>
        </w:rPr>
        <w:t>means paid up as to the par value in respect of the issue of any Shares and includes credited as paid up;</w:t>
      </w:r>
    </w:p>
    <w:p>
      <w:pPr>
        <w:spacing w:after="0" w:line="225" w:lineRule="exact"/>
        <w:rPr>
          <w:sz w:val="20"/>
          <w:szCs w:val="20"/>
          <w:color w:val="auto"/>
        </w:rPr>
      </w:pPr>
    </w:p>
    <w:p>
      <w:pPr>
        <w:jc w:val="both"/>
        <w:ind w:left="1140" w:hanging="1139"/>
        <w:spacing w:after="0" w:line="282"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“Person”</w:t>
      </w:r>
      <w:r>
        <w:rPr>
          <w:sz w:val="20"/>
          <w:szCs w:val="20"/>
          <w:color w:val="auto"/>
        </w:rPr>
        <w:tab/>
      </w:r>
      <w:r>
        <w:rPr>
          <w:rFonts w:ascii="Times New Roman" w:cs="Times New Roman" w:eastAsia="Times New Roman" w:hAnsi="Times New Roman"/>
          <w:sz w:val="18"/>
          <w:szCs w:val="18"/>
          <w:color w:val="auto"/>
        </w:rPr>
        <w:t>means any natural person, firm, company, joint venture, partnership, corporation, association or other entity (whether or not having a separate legal personality) or any of them as the context so requires;</w:t>
      </w:r>
    </w:p>
    <w:p>
      <w:pPr>
        <w:spacing w:after="0" w:line="162" w:lineRule="exact"/>
        <w:rPr>
          <w:sz w:val="20"/>
          <w:szCs w:val="20"/>
          <w:color w:val="auto"/>
        </w:rPr>
      </w:pPr>
    </w:p>
    <w:p>
      <w:pPr>
        <w:jc w:val="both"/>
        <w:ind w:left="1140" w:hanging="1139"/>
        <w:spacing w:after="0" w:line="258"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“Present”</w:t>
      </w:r>
      <w:r>
        <w:rPr>
          <w:sz w:val="20"/>
          <w:szCs w:val="20"/>
          <w:color w:val="auto"/>
        </w:rPr>
        <w:tab/>
      </w:r>
      <w:r>
        <w:rPr>
          <w:rFonts w:ascii="Times New Roman" w:cs="Times New Roman" w:eastAsia="Times New Roman" w:hAnsi="Times New Roman"/>
          <w:sz w:val="18"/>
          <w:szCs w:val="18"/>
          <w:color w:val="auto"/>
        </w:rPr>
        <w:t>means, in respect of any Person, such Person’s presence at a general meeting of Shareholders, which may be satisfied by means of such Person or, if a corporation or other non-natural Person, its duly authorized representative (or, in the case of any Shareholder, a proxy which has been validly appointed by such Shareholder in accordance with these Articles), being: (a) physically present at the meeting; or (b) in the case of any meeting at which Communication Facilities are permitted in accordance with these Articles, including any Virtual Meeting, connected by means of the use of such Communication Facilities;</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“Propitious”</w:t>
      </w:r>
      <w:r>
        <w:rPr>
          <w:sz w:val="20"/>
          <w:szCs w:val="20"/>
          <w:color w:val="auto"/>
        </w:rPr>
        <w:tab/>
      </w:r>
      <w:r>
        <w:rPr>
          <w:rFonts w:ascii="Times New Roman" w:cs="Times New Roman" w:eastAsia="Times New Roman" w:hAnsi="Times New Roman"/>
          <w:sz w:val="17"/>
          <w:szCs w:val="17"/>
          <w:color w:val="auto"/>
        </w:rPr>
        <w:t>Propitious Global Holdings Limited, a company incorporated in British Virgin Islands and is ultimately controlled by Z&amp;Z Trust;</w:t>
      </w:r>
    </w:p>
    <w:p>
      <w:pPr>
        <w:spacing w:after="0" w:line="225" w:lineRule="exact"/>
        <w:rPr>
          <w:sz w:val="20"/>
          <w:szCs w:val="20"/>
          <w:color w:val="auto"/>
        </w:rPr>
      </w:pPr>
    </w:p>
    <w:p>
      <w:pPr>
        <w:jc w:val="both"/>
        <w:ind w:left="16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“Recognised</w:t>
      </w:r>
      <w:r>
        <w:rPr>
          <w:sz w:val="20"/>
          <w:szCs w:val="20"/>
          <w:color w:val="auto"/>
        </w:rPr>
        <w:t xml:space="preserve"> </w:t>
      </w:r>
      <w:r>
        <w:rPr>
          <w:rFonts w:ascii="Times New Roman" w:cs="Times New Roman" w:eastAsia="Times New Roman" w:hAnsi="Times New Roman"/>
          <w:sz w:val="18"/>
          <w:szCs w:val="18"/>
          <w:color w:val="auto"/>
        </w:rPr>
        <w:t xml:space="preserve">shall include the recognised clearing house as defined in Part I of Schedule 1 of the Securities and Futures Ordinance (Chapter 571 </w:t>
      </w:r>
      <w:r>
        <w:rPr>
          <w:rFonts w:ascii="Times New Roman" w:cs="Times New Roman" w:eastAsia="Times New Roman" w:hAnsi="Times New Roman"/>
          <w:sz w:val="18"/>
          <w:szCs w:val="18"/>
          <w:b w:val="1"/>
          <w:bCs w:val="1"/>
          <w:color w:val="auto"/>
        </w:rPr>
        <w:t xml:space="preserve">Clearing </w:t>
      </w:r>
      <w:r>
        <w:rPr>
          <w:rFonts w:ascii="Times New Roman" w:cs="Times New Roman" w:eastAsia="Times New Roman" w:hAnsi="Times New Roman"/>
          <w:sz w:val="18"/>
          <w:szCs w:val="18"/>
          <w:color w:val="auto"/>
        </w:rPr>
        <w:t>of the Laws of Hong Kong) and any amendments thereto or re-enactments thereof for the time being in force and includes every</w:t>
      </w:r>
    </w:p>
    <w:p>
      <w:pPr>
        <w:spacing w:after="0" w:line="1"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House”</w:t>
      </w:r>
      <w:r>
        <w:rPr>
          <w:sz w:val="20"/>
          <w:szCs w:val="20"/>
          <w:color w:val="auto"/>
        </w:rPr>
        <w:tab/>
      </w:r>
      <w:r>
        <w:rPr>
          <w:rFonts w:ascii="Times New Roman" w:cs="Times New Roman" w:eastAsia="Times New Roman" w:hAnsi="Times New Roman"/>
          <w:sz w:val="18"/>
          <w:szCs w:val="18"/>
          <w:color w:val="auto"/>
        </w:rPr>
        <w:t>other law incorporated therewith or substituted therefor;</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“Register”</w:t>
      </w:r>
      <w:r>
        <w:rPr>
          <w:sz w:val="20"/>
          <w:szCs w:val="20"/>
          <w:color w:val="auto"/>
        </w:rPr>
        <w:tab/>
      </w:r>
      <w:r>
        <w:rPr>
          <w:rFonts w:ascii="Times New Roman" w:cs="Times New Roman" w:eastAsia="Times New Roman" w:hAnsi="Times New Roman"/>
          <w:sz w:val="18"/>
          <w:szCs w:val="18"/>
          <w:color w:val="auto"/>
        </w:rPr>
        <w:t>means the register of Members of the Company maintained in accordance with the Companies Act;</w:t>
      </w:r>
    </w:p>
    <w:p>
      <w:pPr>
        <w:spacing w:after="0" w:line="225" w:lineRule="exact"/>
        <w:rPr>
          <w:sz w:val="20"/>
          <w:szCs w:val="20"/>
          <w:color w:val="auto"/>
        </w:rPr>
      </w:pPr>
    </w:p>
    <w:p>
      <w:pPr>
        <w:ind w:right="39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“Registered </w:t>
      </w:r>
      <w:r>
        <w:rPr>
          <w:rFonts w:ascii="Times New Roman" w:cs="Times New Roman" w:eastAsia="Times New Roman" w:hAnsi="Times New Roman"/>
          <w:sz w:val="18"/>
          <w:szCs w:val="18"/>
          <w:color w:val="auto"/>
        </w:rPr>
        <w:t>means the registered office of the Company as required by the Companies Act;</w:t>
      </w:r>
      <w:r>
        <w:rPr>
          <w:rFonts w:ascii="Times New Roman" w:cs="Times New Roman" w:eastAsia="Times New Roman" w:hAnsi="Times New Roman"/>
          <w:sz w:val="18"/>
          <w:szCs w:val="18"/>
          <w:b w:val="1"/>
          <w:bCs w:val="1"/>
          <w:color w:val="auto"/>
        </w:rPr>
        <w:t xml:space="preserve"> Office”</w:t>
      </w:r>
    </w:p>
    <w:p>
      <w:pPr>
        <w:spacing w:after="0" w:line="1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“Seal”</w:t>
      </w:r>
      <w:r>
        <w:rPr>
          <w:sz w:val="20"/>
          <w:szCs w:val="20"/>
          <w:color w:val="auto"/>
        </w:rPr>
        <w:tab/>
      </w:r>
      <w:r>
        <w:rPr>
          <w:rFonts w:ascii="Times New Roman" w:cs="Times New Roman" w:eastAsia="Times New Roman" w:hAnsi="Times New Roman"/>
          <w:sz w:val="18"/>
          <w:szCs w:val="18"/>
          <w:color w:val="auto"/>
        </w:rPr>
        <w:t>means the common seal of the Company (if adopted) including any facsimile thereof;</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“Secretary”</w:t>
      </w:r>
      <w:r>
        <w:rPr>
          <w:sz w:val="20"/>
          <w:szCs w:val="20"/>
          <w:color w:val="auto"/>
        </w:rPr>
        <w:tab/>
      </w:r>
      <w:r>
        <w:rPr>
          <w:rFonts w:ascii="Times New Roman" w:cs="Times New Roman" w:eastAsia="Times New Roman" w:hAnsi="Times New Roman"/>
          <w:sz w:val="18"/>
          <w:szCs w:val="18"/>
          <w:color w:val="auto"/>
        </w:rPr>
        <w:t>means any Person appointed by the Directors to perform any of the duties of the secretary of the Company;</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color w:val="auto"/>
        </w:rPr>
        <w:t>means the Securities Act of 1933 of the United States of America, as amended, or any similar federal statute and the rules and</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Act”</w:t>
      </w:r>
      <w:r>
        <w:rPr>
          <w:sz w:val="20"/>
          <w:szCs w:val="20"/>
          <w:color w:val="auto"/>
        </w:rPr>
        <w:tab/>
      </w:r>
      <w:r>
        <w:rPr>
          <w:rFonts w:ascii="Times New Roman" w:cs="Times New Roman" w:eastAsia="Times New Roman" w:hAnsi="Times New Roman"/>
          <w:sz w:val="18"/>
          <w:szCs w:val="18"/>
          <w:color w:val="auto"/>
        </w:rPr>
        <w:t>regulations of the Commission thereunder, all as the same shall be in effect at the time;</w:t>
      </w:r>
    </w:p>
    <w:p>
      <w:pPr>
        <w:spacing w:after="0" w:line="203" w:lineRule="exact"/>
        <w:rPr>
          <w:sz w:val="20"/>
          <w:szCs w:val="20"/>
          <w:color w:val="auto"/>
        </w:rPr>
      </w:pPr>
    </w:p>
    <w:p>
      <w:pPr>
        <w:jc w:val="both"/>
        <w:ind w:left="1140" w:hanging="1139"/>
        <w:spacing w:after="0" w:line="282"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“Share”</w:t>
      </w:r>
      <w:r>
        <w:rPr>
          <w:sz w:val="20"/>
          <w:szCs w:val="20"/>
          <w:color w:val="auto"/>
        </w:rPr>
        <w:tab/>
      </w:r>
      <w:r>
        <w:rPr>
          <w:rFonts w:ascii="Times New Roman" w:cs="Times New Roman" w:eastAsia="Times New Roman" w:hAnsi="Times New Roman"/>
          <w:sz w:val="18"/>
          <w:szCs w:val="18"/>
          <w:color w:val="auto"/>
        </w:rPr>
        <w:t>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840" w:top="900" w:right="339" w:bottom="1440" w:gutter="0" w:footer="0" w:header="0"/>
        </w:sectPr>
      </w:pPr>
    </w:p>
    <w:bookmarkStart w:id="9" w:name="page10"/>
    <w:bookmarkEnd w:id="9"/>
    <w:tbl>
      <w:tblPr>
        <w:tblLayout w:type="fixed"/>
        <w:tblInd w:w="52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 Register;</w:t>
            </w:r>
          </w:p>
        </w:tc>
        <w:tc>
          <w:tcPr>
            <w:tcW w:w="0" w:type="dxa"/>
            <w:vAlign w:val="bottom"/>
          </w:tcPr>
          <w:p>
            <w:pPr>
              <w:spacing w:after="0"/>
              <w:rPr>
                <w:sz w:val="1"/>
                <w:szCs w:val="1"/>
                <w:color w:val="auto"/>
              </w:rPr>
            </w:pP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or</w:t>
            </w: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 Articles and the Companies Act;</w:t>
            </w:r>
          </w:p>
        </w:tc>
        <w:tc>
          <w:tcPr>
            <w:tcW w:w="0" w:type="dxa"/>
            <w:vAlign w:val="bottom"/>
          </w:tcPr>
          <w:p>
            <w:pPr>
              <w:spacing w:after="0"/>
              <w:rPr>
                <w:sz w:val="1"/>
                <w:szCs w:val="1"/>
                <w:color w:val="auto"/>
              </w:rPr>
            </w:pP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 process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attached to or logically associated with an electronic communication and executed or adopted by a Person with the intent to sign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electronic communication;</w:t>
            </w:r>
          </w:p>
        </w:tc>
        <w:tc>
          <w:tcPr>
            <w:tcW w:w="0" w:type="dxa"/>
            <w:vAlign w:val="bottom"/>
          </w:tcPr>
          <w:p>
            <w:pPr>
              <w:spacing w:after="0"/>
              <w:rPr>
                <w:sz w:val="1"/>
                <w:szCs w:val="1"/>
                <w:color w:val="auto"/>
              </w:rPr>
            </w:pPr>
          </w:p>
        </w:tc>
      </w:tr>
      <w:tr>
        <w:trPr>
          <w:trHeight w:val="41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special resolution of the Company passed in accordance with the Companies Act, being a resolution:</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        passed by not less than three-fourths of the votes cast by such Shareholders as, being entitled to do so, vote in person or,</w:t>
            </w: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9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where proxies are allowed, by proxy or, in the case of corporations, by their duly authorised representatives, at a general</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meeting of the Company of which notice specifying the intention to propose the resolution as a special resolution has been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duly given; or</w:t>
            </w: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 in one or more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instruments each signed by one or more of the Shareholders and the effective date of the special resolution so adopted shall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 the date on which the instrument or the last of such instruments, if more than one, is executed;</w:t>
            </w:r>
          </w:p>
        </w:tc>
        <w:tc>
          <w:tcPr>
            <w:tcW w:w="0" w:type="dxa"/>
            <w:vAlign w:val="bottom"/>
          </w:tcPr>
          <w:p>
            <w:pPr>
              <w:spacing w:after="0"/>
              <w:rPr>
                <w:sz w:val="1"/>
                <w:szCs w:val="1"/>
                <w:color w:val="auto"/>
              </w:rPr>
            </w:pPr>
          </w:p>
        </w:tc>
      </w:tr>
      <w:tr>
        <w:trPr>
          <w:trHeight w:val="41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Companies Act;</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means the United States of America, its territories, its possessions and all areas subject to its jurisdiction;</w:t>
      </w:r>
    </w:p>
    <w:p>
      <w:pPr>
        <w:spacing w:after="0" w:line="225"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“Virtual</w:t>
      </w:r>
      <w:r>
        <w:rPr>
          <w:sz w:val="20"/>
          <w:szCs w:val="20"/>
          <w:color w:val="auto"/>
        </w:rPr>
        <w:tab/>
      </w:r>
      <w:r>
        <w:rPr>
          <w:rFonts w:ascii="Times New Roman" w:cs="Times New Roman" w:eastAsia="Times New Roman" w:hAnsi="Times New Roman"/>
          <w:sz w:val="18"/>
          <w:szCs w:val="18"/>
          <w:color w:val="auto"/>
        </w:rPr>
        <w:t>means any general meeting of the Shareholders at which the Shareholders (and any other permitted participants of such meeting,</w:t>
      </w:r>
    </w:p>
    <w:p>
      <w:pPr>
        <w:spacing w:after="0" w:line="31" w:lineRule="exact"/>
        <w:rPr>
          <w:sz w:val="20"/>
          <w:szCs w:val="20"/>
          <w:color w:val="auto"/>
        </w:rPr>
      </w:pPr>
    </w:p>
    <w:p>
      <w:pPr>
        <w:jc w:val="both"/>
        <w:ind w:left="1820" w:hanging="1299"/>
        <w:spacing w:after="0" w:line="260" w:lineRule="auto"/>
        <w:tabs>
          <w:tab w:leader="none" w:pos="1800" w:val="left"/>
        </w:tabs>
        <w:rPr>
          <w:sz w:val="20"/>
          <w:szCs w:val="20"/>
          <w:color w:val="auto"/>
        </w:rPr>
      </w:pPr>
      <w:r>
        <w:rPr>
          <w:rFonts w:ascii="Times New Roman" w:cs="Times New Roman" w:eastAsia="Times New Roman" w:hAnsi="Times New Roman"/>
          <w:sz w:val="18"/>
          <w:szCs w:val="18"/>
          <w:b w:val="1"/>
          <w:bCs w:val="1"/>
          <w:color w:val="auto"/>
        </w:rPr>
        <w:t>Meeting”</w:t>
      </w:r>
      <w:r>
        <w:rPr>
          <w:sz w:val="20"/>
          <w:szCs w:val="20"/>
          <w:color w:val="auto"/>
        </w:rPr>
        <w:tab/>
      </w:r>
      <w:r>
        <w:rPr>
          <w:rFonts w:ascii="Times New Roman" w:cs="Times New Roman" w:eastAsia="Times New Roman" w:hAnsi="Times New Roman"/>
          <w:sz w:val="18"/>
          <w:szCs w:val="18"/>
          <w:color w:val="auto"/>
        </w:rPr>
        <w:t>including without limitation the chairman of the meeting and any Directors) are permitted to attend and participate solely by means of Communication Facilities.</w:t>
      </w:r>
    </w:p>
    <w:p>
      <w:pPr>
        <w:spacing w:after="0" w:line="181"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sz w:val="20"/>
          <w:szCs w:val="20"/>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1"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79"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23, but subject to these Articles and provided that (i) it is in compliance with the HKSE Listing Rules and the Code on Takeovers and Mergers; (ii) no new Class of shares with voting rights superior to those of Class A Ordinary Shares will be created; and (iii) any variations in the relative rights as between the different Classes of Shares will not result in creating a new Class of Shares with voting rights superior to those of Class A Ordinary Shares (collectively, the “</w:t>
      </w:r>
      <w:r>
        <w:rPr>
          <w:rFonts w:ascii="Times New Roman" w:cs="Times New Roman" w:eastAsia="Times New Roman" w:hAnsi="Times New Roman"/>
          <w:sz w:val="18"/>
          <w:szCs w:val="18"/>
          <w:b w:val="1"/>
          <w:bCs w:val="1"/>
          <w:color w:val="auto"/>
        </w:rPr>
        <w:t>Overriding Requirements</w:t>
      </w:r>
      <w:r>
        <w:rPr>
          <w:rFonts w:ascii="Times New Roman" w:cs="Times New Roman" w:eastAsia="Times New Roman" w:hAnsi="Times New Roman"/>
          <w:sz w:val="18"/>
          <w:szCs w:val="18"/>
          <w:color w:val="auto"/>
        </w:rPr>
        <w:t>”),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900" w:hanging="379"/>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162" w:lineRule="exact"/>
        <w:rPr>
          <w:sz w:val="20"/>
          <w:szCs w:val="20"/>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229" w:lineRule="exact"/>
        <w:rPr>
          <w:sz w:val="20"/>
          <w:szCs w:val="20"/>
          <w:color w:val="auto"/>
        </w:rPr>
      </w:pPr>
    </w:p>
    <w:p>
      <w:pPr>
        <w:jc w:val="both"/>
        <w:ind w:left="500" w:hanging="492"/>
        <w:spacing w:after="0" w:line="258"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shall at all times vote together as one class on all resolutions submitted to a vote by the Members. Subject to Article 13, each Class A Ordinary Share shall entitle the holder thereof to one (1) vote on all matters subject to vote at general meetings of the Company, and each Class B Ordinary Share shall entitle the holder thereof to ten (10) votes on all matters subject to vote at general meetings of the Company. A class of shares conferring weighted voting rights in the Company must not entitle the holder to more than ten (10) times the voting power of any Class of Ordinary Shares, on any resolution tabled at a general meeting of the Company.</w:t>
      </w:r>
    </w:p>
    <w:p>
      <w:pPr>
        <w:spacing w:after="0" w:line="18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to the contrary, each Class A Ordinary Share and Class B Ordinary Share shall entitle its holder to one vote on a poll at a general meeting in respect of a resolution on any of the following matters:</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Memorandum of Association or these Articles, including the variation of the rights attached to any Class of Shares;</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election or removal of any Independent Non-executive Director;</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removal of the Auditors; or</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liquidation or winding-up of the Company.</w:t>
      </w:r>
    </w:p>
    <w:p>
      <w:pPr>
        <w:spacing w:after="0" w:line="22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where a holder of Class B Ordinary Shares is permitted by the HKSE from time to time to exercise more than one vote per share when voting on a resolution to amend the Memorandum of Association or these Articles, any holder of Class B Ordinary Shares may elect to exercise such number of votes per share as is permitted by the HKSE, up to the maximum number of votes attached to each Class B Ordinary Share as set out in Article 12.</w:t>
      </w:r>
    </w:p>
    <w:p>
      <w:pPr>
        <w:spacing w:after="0" w:line="180" w:lineRule="exact"/>
        <w:rPr>
          <w:sz w:val="20"/>
          <w:szCs w:val="20"/>
          <w:color w:val="auto"/>
        </w:rPr>
      </w:pPr>
    </w:p>
    <w:p>
      <w:pPr>
        <w:jc w:val="both"/>
        <w:ind w:left="500" w:hanging="492"/>
        <w:spacing w:after="0" w:line="258"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to the contrary, the Company shall not take any action (including the issue and repurchase of shares of any Class) that would result in (a) the aggregate number of votes entitled to be cast by all holders of Class A Ordinary Shares excluding holders of Class A Ordinary Shares who also own or control any Class B Ordinary Shares Present at a general meeting to be less than 10% of the votes entitled to be cast by all Members at a general meeting; or (b) an increase in the proportion of Class B Ordinary Shares to the total number of shares in issue above the proportion at the time of the Company’s initial listing on HKSE.</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Class B Ordinary Shares shall be issued by the Company, except with the prior approval of HKSE and pursuant to (i) an offer made to all the Members pro rata (apart from fractional entitlements) to their existing holdings; (ii) a pro rata issue of Shares to all Members by way of scrip dividends; or (iii) pursuant to a stock split or other capital reorganisation provided that the HKSE is satisfied that the proposed allotment or issuance will not result in an increase in the proportion of Shares carrying weighted voting rights; provided further that, each Member shall be entitled to subscribe for (in a pro rata offer) or be issued (in an issue of shares by way of scrip dividends) Shares in the same Class as the Shares then held by him; and further provided that the proposed allotment or issuance will not result in an increase in the proportion of Class B Ordinary Shares in issue, so that:</w:t>
      </w:r>
    </w:p>
    <w:p>
      <w:pPr>
        <w:spacing w:after="0" w:line="188"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a pro rata offer, any holder of Class B Ordinary Shares does not take up any part of the Class B Ordinary Shares or the rights thereto offered to him, such untaken Shares (or rights) shall only be transferred to another person on the basis that such transferred rights will only entitle the transferee to an equivalent number of Class A Ordinary Shares;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90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rights to Class A Ordinary Shares in a pro rata offer are not taken up in their entirety, the number of Class B Ordinary Shares that shall be allotted, issued or granted in such pro rata offer shall be reduced proportionately.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Where necessary, holders of Class B Ordinary Shares must use their best endeavours to enable the Company to comply with this Article.</w:t>
      </w:r>
    </w:p>
    <w:p>
      <w:pPr>
        <w:spacing w:after="0" w:line="225" w:lineRule="exact"/>
        <w:rPr>
          <w:sz w:val="20"/>
          <w:szCs w:val="20"/>
          <w:color w:val="auto"/>
        </w:rPr>
      </w:pPr>
    </w:p>
    <w:p>
      <w:pPr>
        <w:jc w:val="both"/>
        <w:ind w:left="500" w:hanging="492"/>
        <w:spacing w:after="0" w:line="26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reduces the number of Class A Ordinary Shares in issue (for instance, through a purchase of its own Shares), the holders of Class B Ordinary Shares shall reduce their weighted voting rights in the Company proportionately, whether through a conversion of a portion of their Class B Ordinary Shares into Class A Ordinary Shares or otherwise, if the reduction in the number of Class A Ordinary Shares in issue would otherwise result in an increase in the proportion of Class B Ordinary Shares to the total number of shares in issue.</w:t>
      </w:r>
    </w:p>
    <w:p>
      <w:pPr>
        <w:spacing w:after="0" w:line="17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vary the rights of the Class B Ordinary Shares so as to increase the number of votes to which each Class B Ordinary Share is entitled.</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shall only be held by a Co-Founder or a Director Holding Vehicle wholly-owned and wholly-controlled by a Co-Founder. Subject to the HKSE Listing Rules or other applicable laws or regulations, each Class B Ordinary Share shall be automatically converted into one Class A Ordinary Share upon the occurrence of any of the following events and the Company and the relevant holder of Class B Ordinary Shares must notify the HKSE as soon as practicable with details of the event set out in paragraphs (e), (f) and (g) below:</w:t>
      </w:r>
    </w:p>
    <w:p>
      <w:pPr>
        <w:spacing w:after="0" w:line="179"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the holder of such Class B Ordinary Shares (or, where the holder is a Director Holding Vehicle wholly-owned and wholly-controlled by a Co-Founder, the death of the Co-Founder holding and controlling such Director Holding Vehicle wholly-owned and wholly-controlled by such Co-Founder);</w:t>
      </w:r>
    </w:p>
    <w:p>
      <w:pPr>
        <w:spacing w:after="0" w:line="17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Shares ceasing to be a Director or a Director Holding Vehicle wholly-owned and wholly-controlled by a Co-Founder for any reason;</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Shares (or, where the holder is a Director Holding Vehicle wholly-owned and wholly-controlled by a Co-Founder, the Co-Founder holding and controlling such Director Holding Vehicle wholly-owned and wholly-controlled by such Co-Founder) being deemed by the HKSE to be incapacitated for the purpose of performing his duties as a Director;</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Shares (or, where the holder is a Director Holding Vehicle wholly-owned and wholly-controlled by a Co-Founder, the Co-founder holding and controlling such Director Holding Vehicle wholly-owned and wholly-controlled by such Co-Founder) being deemed by the HKSE to no longer meet the requirements of a director set out in the HKSE Listing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900" w:hanging="379"/>
        <w:spacing w:after="0" w:line="255"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another person of the beneficial ownership of, or economic interest in, such Class B Ordinary Share or the control over the voting rights attached to such Class B Ordinary Share (through voting proxies or otherwise), other than (i) the grant of any lien, pledge, charge or other encumbrance over such share which does not result in the transfer of the legal title or beneficial ownership of, or the voting rights attached to, such share, until the same is transferred upon the enforcement of such lien, pledge, charge or other encumbrance; and (ii) a transfer of the legal title to such share by a Co-Founder to a Director Holding Vehicle wholly-owned and wholly-controlled by him, or by a Director Holding Vehicle wholly-owned and wholly-controlled by a Co-Founder to the Co-Founder holding and controlling it or another Director Holding Vehicle wholly-owned and wholly-controlled by such Co-Founder;</w:t>
      </w:r>
    </w:p>
    <w:p>
      <w:pPr>
        <w:spacing w:after="0" w:line="188" w:lineRule="exact"/>
        <w:rPr>
          <w:rFonts w:ascii="Times New Roman" w:cs="Times New Roman" w:eastAsia="Times New Roman" w:hAnsi="Times New Roman"/>
          <w:sz w:val="18"/>
          <w:szCs w:val="18"/>
          <w:color w:val="auto"/>
        </w:rPr>
      </w:pPr>
    </w:p>
    <w:p>
      <w:pPr>
        <w:jc w:val="both"/>
        <w:ind w:left="900" w:hanging="379"/>
        <w:spacing w:after="0" w:line="270" w:lineRule="auto"/>
        <w:tabs>
          <w:tab w:leader="none" w:pos="9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of the holders of Class B Ordinary Shares having control over the exercise of the voting rights of the Shares held by Propitious immediately upon completion of the listing of the Company’s Class A Ordinary Shares on the HKSE (the “</w:t>
      </w:r>
      <w:r>
        <w:rPr>
          <w:rFonts w:ascii="Times New Roman" w:cs="Times New Roman" w:eastAsia="Times New Roman" w:hAnsi="Times New Roman"/>
          <w:sz w:val="17"/>
          <w:szCs w:val="17"/>
          <w:b w:val="1"/>
          <w:bCs w:val="1"/>
          <w:color w:val="auto"/>
        </w:rPr>
        <w:t>Subject Shares</w:t>
      </w:r>
      <w:r>
        <w:rPr>
          <w:rFonts w:ascii="Times New Roman" w:cs="Times New Roman" w:eastAsia="Times New Roman" w:hAnsi="Times New Roman"/>
          <w:sz w:val="17"/>
          <w:szCs w:val="17"/>
          <w:color w:val="auto"/>
        </w:rPr>
        <w:t>”) for reasons within or outside their control. For the avoidance of doubt, (A) subject to the HKSE Listing Rules (including the requirements under Rule 10.07 of the HKSE Listing Rules), (i) any sale, transfer, assignment or disposition of any part or all of the Subject Shares by Propitious to any person, or</w:t>
      </w:r>
    </w:p>
    <w:p>
      <w:pPr>
        <w:spacing w:after="0" w:line="2" w:lineRule="exact"/>
        <w:rPr>
          <w:rFonts w:ascii="Times New Roman" w:cs="Times New Roman" w:eastAsia="Times New Roman" w:hAnsi="Times New Roman"/>
          <w:sz w:val="17"/>
          <w:szCs w:val="17"/>
          <w:color w:val="auto"/>
        </w:rPr>
      </w:pPr>
    </w:p>
    <w:p>
      <w:pPr>
        <w:jc w:val="both"/>
        <w:ind w:left="900" w:hanging="1"/>
        <w:spacing w:after="0" w:line="253" w:lineRule="auto"/>
        <w:tabs>
          <w:tab w:leader="none" w:pos="118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ultimate beneficial ownership of any part or all of the Subject Shares or Propitious to any person (the above activities are collectively referred to as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(B) consequentially resulting in the loss of control over the exercise of the voting rights of the relevant Subject Shares that are subject to the Transactions, will not give rise to any obligation to convert the Class B Ordinary Shares to Class A Ordinary Shares; or</w:t>
      </w:r>
    </w:p>
    <w:p>
      <w:pPr>
        <w:spacing w:after="0" w:line="188"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Holding Vehicle holding such Class B Ordinary Shares no longer complies with the principle that the weighted voting rights attached to a beneficiary’s shares must cease upon transfer to another person of the beneficial ownership of, or economic interest in, those shares or the control over the voting rights attached to them (through voting proxies or otherwise).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Class B Ordinary Shares in the authorized share capital shall be automatically re-designated into Class A Ordinary Shares in the event none of the holders of the Class B Ordinary Shares at the time of the Company’s initial listing on the HKSE have beneficial ownership of Class B Ordinary Shares, and no further Class B Ordinary Shares shall be issued by the Company.</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of each relevant Class B Ordinary Share as a Class A Ordinary Share. Such conversion shall become effective forthwith upon entries being made in the Register to record the re-designation of the relevant Class B Ordinary Shares as Class A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12 to 21 (inclusive), the Class A Ordinary Shares and the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 Weighted voting rights must only be attached to one Class of the Company’s equity securities.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500" w:hanging="492"/>
        <w:spacing w:after="0" w:line="254"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capital of the Company is divided into different Classes the rights attached to any such Class may, subject to any rights or restrictions for the time being attached to any Class, only be varied with the consent in writing of the holders of not less than three-fourths in nominal value of the issued Shares of that Class or with the sanction of a resolution passed at a separate meeting of the holders of the Shares of that Class by the holders of three-fourths in nominal value of the issued Shares of that Class present in person or by proxy and voting at such meeting. To every such separate meeting all the provisions of these Articles relating to general meetings of the Company or to the proceedings thereat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apply, except that the necessary quorum shall be one or more Persons holding or representing by proxy at least one-third in nominal or par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attached to, or otherwise attached to, or otherwise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 The rights attached to, or otherwise conferred upon the holders of, the Shares of any Class shall not be deemed to be materially adversely varied by the creation or issue of Shares with preferred or other rights including, without limitation, the creation of Shares with enhanced or weighted voting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500" w:hanging="492"/>
        <w:spacing w:after="0" w:line="25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U.S. dollar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prominently include the words “A company controlled through weighted voting rights” or such language as may be specified by the HKSE from time to time.</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500" w:hanging="492"/>
        <w:spacing w:after="0" w:line="258"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500" w:hanging="492"/>
        <w:spacing w:after="0" w:line="25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all dividends payable thereon.</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TRANSFER AND TRANSMISSION OF SHARES</w:t>
      </w:r>
    </w:p>
    <w:p>
      <w:pPr>
        <w:spacing w:after="0" w:line="229" w:lineRule="exact"/>
        <w:rPr>
          <w:sz w:val="20"/>
          <w:szCs w:val="20"/>
          <w:color w:val="auto"/>
        </w:rPr>
      </w:pPr>
    </w:p>
    <w:p>
      <w:pPr>
        <w:jc w:val="both"/>
        <w:ind w:left="500" w:hanging="492"/>
        <w:spacing w:after="0" w:line="254"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provided always that it shall be in such a form prescribed by the HKSE and be executed by or on behalf of the transferor and if in respect of a nil or partly paid up Share, or if so required by the Directors, shall also be executed on behalf of the transferee, in each case, may be under hand only or, if the transferor or transferee is a Clearing House (or its nominee(s)), under hand or by machine imprinted signature or by such other means of execution as the Board may approve from time to time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91" w:lineRule="exact"/>
        <w:rPr>
          <w:rFonts w:ascii="Times New Roman" w:cs="Times New Roman" w:eastAsia="Times New Roman" w:hAnsi="Times New Roman"/>
          <w:sz w:val="18"/>
          <w:szCs w:val="18"/>
          <w:color w:val="auto"/>
        </w:rPr>
      </w:pPr>
    </w:p>
    <w:p>
      <w:pPr>
        <w:ind w:left="900" w:hanging="892"/>
        <w:spacing w:after="0" w:line="282" w:lineRule="auto"/>
        <w:tabs>
          <w:tab w:leader="none" w:pos="5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Directors may in their absolute discretion decline to register any transfer of Shares which is not fully paid up or on which the Company has a lien.</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 (or such longer period as the Members may by ordinary resolution determine provided that such period shall not be extended beyond sixty (60) calendar days in any calendar year).</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left="500" w:hanging="492"/>
        <w:spacing w:after="0" w:line="258"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if the Board considers it necessary or appropriate, the Company may establish and maintain a principal or branch Register at such location as the Board thinks fit and there shall be entered therein the particulars of the Members and the shares issued to each of them and other particulars required under the Companies Act.</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when a register is closed and, if applicable, subject to the additional provisions of Article 52, the principal register and any branch register shall during business hours be kept open to inspection by any Member without charge. The reference to business hours in this Article is subject to such reasonable restrictions as the Company in general meeting may impose, but so that not less than two hours in each business day is to be allowed for inspections.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of Association,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authorised by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7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Members by Ordinary Resolution, or are otherwise authorised by these Articles; and</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900" w:hanging="892"/>
        <w:spacing w:after="0" w:line="282" w:lineRule="auto"/>
        <w:tabs>
          <w:tab w:leader="none" w:pos="5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in each financial year hold a general meeting as its annual general meeting and shall specify the meeting as such in the notices calling it. The annual general meeting shall be held at such time and place as may be determined by the Directors.</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900" w:right="20" w:hanging="892"/>
        <w:spacing w:after="0" w:line="282" w:lineRule="auto"/>
        <w:tabs>
          <w:tab w:leader="none" w:pos="5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Chairman or a majority of the Directors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900" w:right="20" w:hanging="379"/>
        <w:spacing w:after="0" w:line="266"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not less than one-tenth (1/10) of all votes attaching to all issued and outstanding Shares of the Company (on a one vote per share basis) that as at the date of the deposit carry the right to vote at general meetings of the Company, and such Member(s) may also add resolutions to the agenda of any general meeting of the Company.</w:t>
      </w:r>
    </w:p>
    <w:p>
      <w:pPr>
        <w:spacing w:after="0" w:line="17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58"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(1/2) of the total voting rights of all of them, may themselves convene a general meeting, but any meeting so convened shall not be held after the expiration of three (3) calendar months after the expiration of the said twenty-one (21) calendar days.</w:t>
      </w:r>
    </w:p>
    <w:p>
      <w:pPr>
        <w:spacing w:after="0" w:line="18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500" w:hanging="492"/>
        <w:spacing w:after="0" w:line="255"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shall be called by not less than twenty-one (21) days’ notice in writing and any extraordinary general meeting shall be called by not less than fourteen (14) days’ notice in writing. Subject to the requirements under the HKSE Listing Rules, every notice shall be exclusive of the day on which it is given or deemed to be given and of the day for which it is given and shall specify the place of the meeting (for any meeting which is not a Virtual Meeting), the day and the hour of the meeting, particulars of the resolutions and the general nature of the business to be considered at that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one or more Shareholders who together hold Shares which carry in aggregate not less than two-thirds (2/3) of all votes attaching to all issued and outstanding Shares of the Company entitled to attend and vote at the meeting.</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A quorum required for a meeting of the Shareholders consists of one or more Shareholders holding Shares which carry in aggregate (or representing by proxy) not less than ten percent (10%) of the voting rights (on a one vote per share basis) in the share capital of the Company.</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(as set out in Article 74)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utilized (including any Virtual Meeting) must disclose the Communication Facilities that will be used, including the procedures to be followed by any Shareholder or other participant of the meeting who wishes to utilise such Communication Facilities for the purposes of attending and participating in such meeting, including attending and casting any vote thereat.</w:t>
      </w:r>
    </w:p>
    <w:p>
      <w:pPr>
        <w:spacing w:after="0" w:line="18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of the Board of Directors, or if at any general meeting he is not Present within fifteen minutes after the time appointed for holding the meeting or is unwilling to act as chairman of the meeting, any Director or Person nominated by the Directors shall preside as chairman of that meeting, failing which the Shareholders Present shall choose any Person Present to be chairman of that meeting.</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jc w:val="both"/>
        <w:ind w:left="900" w:hanging="379"/>
        <w:spacing w:after="0" w:line="258"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For the avoidance of doubt, the quorum required for such adjourned meeting is set out in Article 74.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Where any general meeting is postponed in accordance with this Article, the Board shall fix the date, time and place for the reconvened meeting.</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has the right to speak at any duly convened general meeting of the Company, except where he is required by the HKSE Listing Rules to abstain from voting on the matter under consideration.</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poll, save that the chairman of the meeting may, in good faith, allow a resolution which relates purely to a procedural or administrative matter as prescribed under the HKSE Listing Rules to be voted on by a show of hands. Where a resolution is voted on by show of hands,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at the meeting shall, at a general meeting of the Company, each have one vote and on a poll every Shareholder Present at the meeting shall have one (1) vote for each Class A Ordinary Share and ten (10) votes for each Class B Ordinary Share of which he is the holder.</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shall be entitled to appoint a proxy, and every Shareholder being a corporation shall be entitled to appoint a representative to attend and vote at any general meeting and, where a corporation is so represented, it shall be treated as being present at any meeting in person. A Shareholder who is the holder of two or more Shares may appoint more than one proxy to represent him and vote on his behalf at a general meeting of the Company or at a class meeting, and such proxies are under no obligation to cast all his votes in the same way.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500" w:hanging="492"/>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 provided that this shall not preclude the use of the two-way form.</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or to the secretary or to any director;</w:t>
      </w:r>
    </w:p>
    <w:p>
      <w:pPr>
        <w:spacing w:after="0" w:line="16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83"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Member is, under the HKSE Listing Rules, required to abstain from voting on any particular resolution or restricted to voting only for or against any particular resolution, any votes cast by or on behalf of such Member in contravention of such requirement or restriction shall not be counted.</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500" w:hanging="492"/>
        <w:spacing w:after="0" w:line="255"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900" w:hanging="892"/>
        <w:spacing w:after="0" w:line="282" w:lineRule="auto"/>
        <w:tabs>
          <w:tab w:leader="none" w:pos="5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otherwise determined by the Company in general meeting, the number of Directors shall not be less than three (3) but no more than nine (9)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58"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elected and appointed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2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 Any Director so appointed shall hold office only until the first annual general meeting of the Company after his appointment, and shall then be eligible for re-election at that meeting.</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1"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Designated Stock Exchange Rules applicable to the composition of the Board and qualifications of Directors, the Board shall include (i) at least two (2) Executive Directors, if there are no more than five (5) Directors on the Board, (ii) at least three (3) Executive Directors, if there are more than five (5) Directors but no more than seven (7) Directors on the Board and (iii) at least four (4) Executive Directors, if there are more than seven (7) Directors but no more than nine (9) Directors on the Board.</w:t>
      </w:r>
    </w:p>
    <w:p>
      <w:pPr>
        <w:spacing w:after="0" w:line="179"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for such term of office as may be as agreed between the Company and the Director; but no such term shall be implied in the absence of express provision. Any Director whose term of office expires shall be eligible for re-election at a meeting of the Shareholders or re-appointment by the Board.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left="500" w:hanging="492"/>
        <w:spacing w:after="0" w:line="25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Ordinary Resolution of the Company,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applicable law or Designated Stock Exchange Rules, the Board may, from time to time, adopt, institute, amend, modify or revoke the corporate governance policies or initiatives of the Company and determine on various corporate governance related matters of the Company as the Board shall determine by resolution of Directors from time to time. For the avoidance of doubt, if any corporate governance policies or initiatives of the Company adopted by resolution of the Board are inconsistent with the provisions in Article 100, Article 100 shall prevail.</w:t>
      </w:r>
    </w:p>
    <w:p>
      <w:pPr>
        <w:spacing w:after="0" w:line="183"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Independent Non-executive Director (including those appointed for a specific term) shall be subject to retirement by rotation at least once every three years. A retiring Director shall retain office until the close of the meeting at which he retires and shall be eligible for re-election thereat. The Company at any annual general meeting at which any Directors retire may fill the vacated office by electing a like number of persons to be Directors.</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500" w:hanging="492"/>
        <w:spacing w:after="0" w:line="254"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p>
      <w:pPr>
        <w:spacing w:after="0" w:line="19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NON-EXECUTIVE DIRECTORS</w:t>
      </w:r>
    </w:p>
    <w:p>
      <w:pPr>
        <w:spacing w:after="0" w:line="22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 of an Independent Non-executive Director shall include, but is not limited to:</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Board meetings to bring an independent judgment to bear on issues of strategy, policy, performance, accountability, resources, key appointments and standards of conduct;</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the lead where potential conflicts of interests arise;</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on the audit, remuneration, nomination and other governance committees; if invited; and</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scrutinising the Company’s performance in achieving agreed corporate goals and objectives, and monitoring performance reporting.</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Non-executive Directors, as equal board members, should give the Board and any committees on which they serve the benefit of their skills, expertise and varied backgrounds and qualifications through regular attendance and active participation. Generally they should also attend general meetings to gain and develop a balanced understanding of the view of Shareholders.</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Non-executive Directors should make a positive contribution to the development of the Company’s strategy and policies through independence, constructive and informed comments.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Authorised Signatory</w:t>
      </w:r>
      <w:r>
        <w:rPr>
          <w:rFonts w:ascii="Times New Roman" w:cs="Times New Roman" w:eastAsia="Times New Roman" w:hAnsi="Times New Roman"/>
          <w:sz w:val="18"/>
          <w:szCs w:val="18"/>
          <w:color w:val="auto"/>
        </w:rPr>
        <w:t>”,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left="492" w:hanging="492"/>
        <w:spacing w:after="0" w:line="256" w:lineRule="auto"/>
        <w:tabs>
          <w:tab w:leader="none" w:pos="4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492" w:hanging="492"/>
        <w:spacing w:after="0" w:line="282" w:lineRule="auto"/>
        <w:tabs>
          <w:tab w:leader="none" w:pos="4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 for the time being vested in them.</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492" w:hanging="492"/>
        <w:spacing w:after="0" w:line="266" w:lineRule="auto"/>
        <w:tabs>
          <w:tab w:leader="none" w:pos="4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492" w:hanging="492"/>
        <w:spacing w:after="0" w:line="261" w:lineRule="auto"/>
        <w:tabs>
          <w:tab w:leader="none" w:pos="4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9" w:lineRule="exact"/>
        <w:rPr>
          <w:rFonts w:ascii="Times New Roman" w:cs="Times New Roman" w:eastAsia="Times New Roman" w:hAnsi="Times New Roman"/>
          <w:sz w:val="18"/>
          <w:szCs w:val="18"/>
          <w:color w:val="auto"/>
        </w:rPr>
      </w:pPr>
    </w:p>
    <w:p>
      <w:pPr>
        <w:jc w:val="both"/>
        <w:ind w:left="492" w:hanging="492"/>
        <w:spacing w:after="0" w:line="255" w:lineRule="auto"/>
        <w:tabs>
          <w:tab w:leader="none" w:pos="4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492" w:hanging="492"/>
        <w:spacing w:after="0" w:line="266" w:lineRule="auto"/>
        <w:tabs>
          <w:tab w:leader="none" w:pos="4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four consecutive meetings and the Board resolves that his office be vacated; or</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500" w:hanging="492"/>
        <w:spacing w:after="0" w:line="258"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of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left="492" w:hanging="492"/>
        <w:spacing w:after="0" w:line="254" w:lineRule="auto"/>
        <w:tabs>
          <w:tab w:leader="none" w:pos="4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492" w:hanging="492"/>
        <w:spacing w:after="0" w:line="266" w:lineRule="auto"/>
        <w:tabs>
          <w:tab w:leader="none" w:pos="4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the Auditors.</w:t>
      </w:r>
    </w:p>
    <w:p>
      <w:pPr>
        <w:spacing w:after="0" w:line="175"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492" w:right="20" w:hanging="492"/>
        <w:spacing w:after="0" w:line="282" w:lineRule="auto"/>
        <w:tabs>
          <w:tab w:leader="none" w:pos="4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492" w:hanging="492"/>
        <w:spacing w:after="0" w:line="258" w:lineRule="auto"/>
        <w:tabs>
          <w:tab w:leader="none" w:pos="4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183" w:lineRule="exact"/>
        <w:rPr>
          <w:rFonts w:ascii="Times New Roman" w:cs="Times New Roman" w:eastAsia="Times New Roman" w:hAnsi="Times New Roman"/>
          <w:sz w:val="18"/>
          <w:szCs w:val="18"/>
          <w:color w:val="auto"/>
        </w:rPr>
      </w:pPr>
    </w:p>
    <w:p>
      <w:pPr>
        <w:jc w:val="both"/>
        <w:ind w:left="492" w:hanging="492"/>
        <w:spacing w:after="0" w:line="266" w:lineRule="auto"/>
        <w:tabs>
          <w:tab w:leader="none" w:pos="4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5" w:name="page36"/>
    <w:bookmarkEnd w:id="35"/>
    <w:p>
      <w:pPr>
        <w:jc w:val="both"/>
        <w:ind w:left="50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500" w:hanging="492"/>
        <w:spacing w:after="0" w:line="258"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NOMINATION COMMITTEE</w:t>
      </w:r>
    </w:p>
    <w:p>
      <w:pPr>
        <w:spacing w:after="0" w:line="229" w:lineRule="exact"/>
        <w:rPr>
          <w:sz w:val="20"/>
          <w:szCs w:val="20"/>
          <w:color w:val="auto"/>
        </w:rPr>
      </w:pPr>
    </w:p>
    <w:p>
      <w:pPr>
        <w:ind w:left="500" w:right="2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Nomination Committee with specific written terms of reference which deal clearly with the authority and duties of such committee. The Nomination Committee shall perform the following terms of reference:</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the structure, size and composition (including the skills, knowledge and experience) of the Board at least annually and make recommendations on any proposed changes to the Board to complement the Company’s corporate strategy;</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individuals suitably qualified to become Directors and select or make recommendations to the Board on the selection of individuals nominated for directorships;</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independence of Independent Non-executive Directors; and</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recommendations to the Board on the appointment or re-appointment of Directors and succession planning for Directors, in particular the chairman and the chief executive.</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should make available its terms of reference explaining its role and the authority delegated to it by the Board by including them on the HKSE’s website and Company’s Website.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492" w:right="20" w:hanging="492"/>
        <w:spacing w:after="0" w:line="282" w:lineRule="auto"/>
        <w:tabs>
          <w:tab w:leader="none" w:pos="4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should provide the Nomination Committee sufficient resources to perform its duties. Where necessary, the Nomination Committee should seek independent professional advice, at the Company’s expense, to perform its responsibilities.</w:t>
      </w:r>
    </w:p>
    <w:p>
      <w:pPr>
        <w:spacing w:after="0" w:line="161" w:lineRule="exact"/>
        <w:rPr>
          <w:rFonts w:ascii="Times New Roman" w:cs="Times New Roman" w:eastAsia="Times New Roman" w:hAnsi="Times New Roman"/>
          <w:sz w:val="18"/>
          <w:szCs w:val="18"/>
          <w:color w:val="auto"/>
        </w:rPr>
      </w:pPr>
    </w:p>
    <w:p>
      <w:pPr>
        <w:ind w:left="492" w:hanging="492"/>
        <w:spacing w:after="0" w:line="282" w:lineRule="auto"/>
        <w:tabs>
          <w:tab w:leader="none" w:pos="4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proposes a resolution to elect an individual as an Independent Non-executive Director at the general meeting, it should set out in the circular to shareholders and/or explanatory statement accompanying the notice of the relevant general meeting:</w:t>
      </w:r>
    </w:p>
    <w:p>
      <w:pPr>
        <w:spacing w:after="0" w:line="161" w:lineRule="exact"/>
        <w:rPr>
          <w:rFonts w:ascii="Times New Roman" w:cs="Times New Roman" w:eastAsia="Times New Roman" w:hAnsi="Times New Roman"/>
          <w:sz w:val="18"/>
          <w:szCs w:val="18"/>
          <w:color w:val="auto"/>
        </w:rPr>
      </w:pPr>
    </w:p>
    <w:p>
      <w:pPr>
        <w:ind w:left="892" w:right="20" w:hanging="379"/>
        <w:spacing w:after="0" w:line="282" w:lineRule="auto"/>
        <w:tabs>
          <w:tab w:leader="none" w:pos="8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for identifying the individual and why the Board believes the individual should be elected and the reasons why it considers the individual to be independent;</w:t>
      </w:r>
    </w:p>
    <w:p>
      <w:pPr>
        <w:spacing w:after="0" w:line="161" w:lineRule="exact"/>
        <w:rPr>
          <w:rFonts w:ascii="Times New Roman" w:cs="Times New Roman" w:eastAsia="Times New Roman" w:hAnsi="Times New Roman"/>
          <w:sz w:val="18"/>
          <w:szCs w:val="18"/>
          <w:color w:val="auto"/>
        </w:rPr>
      </w:pPr>
    </w:p>
    <w:p>
      <w:pPr>
        <w:ind w:left="892" w:right="20" w:hanging="379"/>
        <w:spacing w:after="0" w:line="282" w:lineRule="auto"/>
        <w:tabs>
          <w:tab w:leader="none" w:pos="8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Independent Non-executive Director will be holding his seventh (or more) listed company directorship, why the Board believes the individual would still be able to devote sufficient time to the Board;</w:t>
      </w:r>
    </w:p>
    <w:p>
      <w:pPr>
        <w:spacing w:after="0" w:line="161"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perspectives, skills and experience that the individual can bring to the Board; and</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individual contributes to diversity of the Board.</w:t>
      </w:r>
    </w:p>
    <w:p>
      <w:pPr>
        <w:spacing w:after="0" w:line="225" w:lineRule="exact"/>
        <w:rPr>
          <w:rFonts w:ascii="Times New Roman" w:cs="Times New Roman" w:eastAsia="Times New Roman" w:hAnsi="Times New Roman"/>
          <w:sz w:val="18"/>
          <w:szCs w:val="18"/>
          <w:color w:val="auto"/>
        </w:rPr>
      </w:pPr>
    </w:p>
    <w:p>
      <w:pPr>
        <w:ind w:left="492" w:right="20" w:hanging="492"/>
        <w:spacing w:after="0" w:line="282" w:lineRule="auto"/>
        <w:tabs>
          <w:tab w:leader="none" w:pos="4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shall comprise a majority of Independent Non-executive Directors, one of whom shall act as its chairman. At least one member of the Nomination Committee shall be of a different gender.</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CORPORATE GOVERNANCE COMMITTEE</w:t>
      </w:r>
    </w:p>
    <w:p>
      <w:pPr>
        <w:spacing w:after="0" w:line="229" w:lineRule="exact"/>
        <w:rPr>
          <w:sz w:val="20"/>
          <w:szCs w:val="20"/>
          <w:color w:val="auto"/>
        </w:rPr>
      </w:pPr>
    </w:p>
    <w:p>
      <w:pPr>
        <w:ind w:left="492" w:right="20" w:hanging="492"/>
        <w:spacing w:after="0" w:line="282" w:lineRule="auto"/>
        <w:tabs>
          <w:tab w:leader="none" w:pos="4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Corporate Governance Committee with specific written terms of reference which deal clearly with the authority and duties of such committee. The Corporate Governance Committee shall perform the following terms of reference:</w:t>
      </w:r>
    </w:p>
    <w:p>
      <w:pPr>
        <w:spacing w:after="0" w:line="161"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review the Company’s policies and practices on corporate governance and make recommendations to the Board;</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the training and continuous professional development of Directors and senior management;</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the Company’s policies and practices on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review and monitor the code of conduct and compliance manual (if any) applicable to employees and Directors;</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the Company’s compliance with the code and disclosure in the Corporate Governance Report;</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whether the Company is operated and managed for the benefit of all its shareholders;</w:t>
      </w:r>
    </w:p>
    <w:p>
      <w:pPr>
        <w:spacing w:after="0" w:line="225" w:lineRule="exact"/>
        <w:rPr>
          <w:rFonts w:ascii="Times New Roman" w:cs="Times New Roman" w:eastAsia="Times New Roman" w:hAnsi="Times New Roman"/>
          <w:sz w:val="18"/>
          <w:szCs w:val="18"/>
          <w:color w:val="auto"/>
        </w:rPr>
      </w:pPr>
    </w:p>
    <w:p>
      <w:pPr>
        <w:ind w:left="892" w:hanging="379"/>
        <w:spacing w:after="0" w:line="282" w:lineRule="auto"/>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confirm, on an annual basis, that the holders of Class B Ordinary Shares have been members of the Company’s Board throughout the year and that no matters under Article 18(a) to (d) have occurred during the relevant financial year;</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7" w:name="page38"/>
    <w:bookmarkEnd w:id="37"/>
    <w:p>
      <w:pPr>
        <w:ind w:left="900" w:hanging="379"/>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confirm, on an annual basis, whether or not the holders of Class B Ordinary Shares have complied with Articles 15, 16, 18(e) to (g) and 13 throughout the year;</w:t>
      </w:r>
    </w:p>
    <w:p>
      <w:pPr>
        <w:spacing w:after="0" w:line="161" w:lineRule="exact"/>
        <w:rPr>
          <w:rFonts w:ascii="Times New Roman" w:cs="Times New Roman" w:eastAsia="Times New Roman" w:hAnsi="Times New Roman"/>
          <w:sz w:val="18"/>
          <w:szCs w:val="18"/>
          <w:color w:val="auto"/>
        </w:rPr>
      </w:pPr>
    </w:p>
    <w:p>
      <w:pPr>
        <w:jc w:val="both"/>
        <w:ind w:left="900" w:right="20" w:hanging="379"/>
        <w:spacing w:after="0" w:line="266"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the management of conflicts of interests and make a recommendation to the Board on any matter where there is a potential conflict of interest between the Company, a subsidiary of the Company and/or holders of Class A Ordinary Shares of the Company (considered as a group) on one hand and any holder of Class B Ordinary Shares on the other;</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all risks related to the Company’s weighted voting right structure, including connected transactions between the Company and/or a subsidiary of the Company on one hand and any holder of Class B Ordinary Shares on the other and make a recommendation to the Board on any such transaction;</w:t>
      </w:r>
    </w:p>
    <w:p>
      <w:pPr>
        <w:spacing w:after="0" w:line="17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recommendation to the Board as to the appointment or removal of the Compliance Adviser;</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to ensure effective and on-going communication between the Company and its shareholders, particularly with regards to the requirements of Article 186;</w:t>
      </w:r>
    </w:p>
    <w:p>
      <w:pPr>
        <w:spacing w:after="0" w:line="161"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on the work of the Corporate Governance Committee on at least a half yearly and annual basis covering the areas of its terms of reference as set out in sub-paragraphs (a) to (n) of this Article 145; and</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on a comply or explain basis, its recommendations to the Board in respect of the matters in sub-paragraphs (i) to (k) above in the report referred to in sub-paragraph (m) above.</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 shall comprise entirely of Independent Non-executive Directors, one of whom shall act as its chairman.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Report produced by the Company pursuant to the HKSE Listing Rules shall include a summary of the work of the Corporate Governance Committee, with regards to its terms of reference set out in Articles 145(a) to 145(n) above, for the accounting period covered by both the half-yearly and annual report and disclose any significant subsequent events for the period up to the date of publication of the half-yearly and annual report, to the extent possible.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COMPLIANCE ADVISER</w:t>
      </w:r>
    </w:p>
    <w:p>
      <w:pPr>
        <w:spacing w:after="0" w:line="229" w:lineRule="exact"/>
        <w:rPr>
          <w:sz w:val="20"/>
          <w:szCs w:val="20"/>
          <w:color w:val="auto"/>
        </w:rPr>
      </w:pPr>
    </w:p>
    <w:p>
      <w:pPr>
        <w:jc w:val="both"/>
        <w:ind w:left="500" w:right="2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appoint a Compliance Adviser on a permanent basis commencing on the date of the Company’s initial listing on HKSE. The Board shall consult with and, if necessary, seek advice from the Compliance Adviser, on a timely and ongoing basis, in the following circumstances:</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publication of any regulatory announcement, circular or financial report by the Company;</w:t>
      </w:r>
    </w:p>
    <w:p>
      <w:pPr>
        <w:spacing w:after="0" w:line="225"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transaction, which might be a notifiable or connected transaction (as defined in the HKSE Listing Rules), is contemplated by the Company including share issues and share repurchases;</w:t>
      </w:r>
    </w:p>
    <w:p>
      <w:pPr>
        <w:spacing w:after="0" w:line="161"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proposes to use the proceeds of its initial public offering on HKSE in a manner different from that detailed in the listing document in respect of such initial public offering on HKSE, or where the business activities, developments or results of the Company deviate from any forecast, estimate or other information set out in such listing document; and</w:t>
      </w:r>
    </w:p>
    <w:p>
      <w:pPr>
        <w:spacing w:after="0" w:line="17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HKSE makes an inquiry of the Company under the HKSE Listing Rules.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also consult with, and if necessary, seek advice from the Compliance Adviser, on a timely and ongoing basis, on any matters related to:</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voting rights structure of the Company;</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 holders of Class B Ordinary Shares have an interest; and</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 potential conflict of interest between the Company, a subsidiary of the Company and/or holders of Class A Ordinary Shares (considered as a group) on the one hand, and any holder of Class B Ordinary Shares on the other.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500" w:hanging="492"/>
        <w:spacing w:after="0" w:line="266"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left="500" w:hanging="492"/>
        <w:spacing w:after="0" w:line="258"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500" w:hanging="492"/>
        <w:spacing w:after="0"/>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or other body that is independent of the Board of Directors (as the case may be) may from time to time determine that Auditors shall be appointed. The appointment of and provisions relating to Auditors shall be in accordance with applicable law and the relevant code, rules and regulations applicable to the listing of the Shares on the Designated Stock Exchange.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may, at any general meeting convened and held in accordance with these Articles, by Ordinary Resolution remove the Auditors at any time before the expiration of their term of office and shall by Ordinary Resolution appoint another Auditor in their stead for the remainder of their term.</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Auditors shall be fixed by the Company in general meeting by Ordinary Resolution.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500" w:hanging="492"/>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76" w:lineRule="exact"/>
        <w:rPr>
          <w:sz w:val="20"/>
          <w:szCs w:val="20"/>
          <w:color w:val="auto"/>
        </w:rPr>
      </w:pPr>
    </w:p>
    <w:p>
      <w:pPr>
        <w:ind w:left="900" w:right="20" w:hanging="379"/>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900" w:hanging="379"/>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auto"/>
        </w:rPr>
      </w:pPr>
    </w:p>
    <w:p>
      <w:pPr>
        <w:ind w:left="1300" w:right="20" w:hanging="388"/>
        <w:spacing w:after="0" w:line="28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900" w:hanging="379"/>
        <w:spacing w:after="0"/>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900" w:hanging="379"/>
        <w:spacing w:after="0" w:line="261"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500" w:right="20" w:hanging="492"/>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500" w:hanging="492"/>
        <w:spacing w:after="0" w:line="255"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8"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(5)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500" w:hanging="492"/>
        <w:spacing w:after="0" w:line="25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492" w:hanging="492"/>
        <w:spacing w:after="0"/>
        <w:tabs>
          <w:tab w:leader="none" w:pos="4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892" w:hanging="379"/>
        <w:spacing w:after="0" w:line="282" w:lineRule="auto"/>
        <w:tabs>
          <w:tab w:leader="none" w:pos="89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892" w:hanging="379"/>
        <w:spacing w:after="0" w:line="282" w:lineRule="auto"/>
        <w:tabs>
          <w:tab w:leader="none" w:pos="89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492" w:hanging="492"/>
        <w:spacing w:after="0" w:line="261" w:lineRule="auto"/>
        <w:tabs>
          <w:tab w:leader="none" w:pos="4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492" w:hanging="492"/>
        <w:spacing w:after="0" w:line="266" w:lineRule="auto"/>
        <w:tabs>
          <w:tab w:leader="none" w:pos="4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492" w:hanging="492"/>
        <w:spacing w:after="0" w:line="254" w:lineRule="auto"/>
        <w:tabs>
          <w:tab w:leader="none" w:pos="4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Auditors) and the personal representatives of the same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4" w:name="page45"/>
    <w:bookmarkEnd w:id="44"/>
    <w:p>
      <w:pPr>
        <w:ind w:left="900" w:hanging="379"/>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500" w:hanging="492"/>
        <w:spacing w:after="0" w:line="282"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31st in each calendar year and shall begin on January 1st in each calendar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that the Company be wound up voluntarily shall be a Special Resolution.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 WITH MEMBERS AND DISCLOSURE</w:t>
      </w:r>
    </w:p>
    <w:p>
      <w:pPr>
        <w:spacing w:after="0" w:line="229" w:lineRule="exact"/>
        <w:rPr>
          <w:sz w:val="20"/>
          <w:szCs w:val="20"/>
          <w:color w:val="auto"/>
        </w:rPr>
      </w:pPr>
    </w:p>
    <w:p>
      <w:pPr>
        <w:ind w:left="500" w:hanging="492"/>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Designated Stock Exchange Rules regarding shareholders’ engagement.</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the warning “A company controlled through weighted voting rights” on the front page of all its listing documents, periodic financial reports, circulars, notifications and announcements required by the HKSE Listing Rules, and describe its weighted voting rights structure, the rationale for having such structure and the associated risks for shareholders prominently in its listing documents and periodic financial reports. This warning statement shall inform prospective investors of the potential risks of investing in the Company and that they should make the decision to invest only after due and careful consideration.</w:t>
      </w:r>
    </w:p>
    <w:p>
      <w:pPr>
        <w:spacing w:after="0" w:line="18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listing documents and its interim and annual reports produced by the Company pursuant to the HKSE Listing Rules:</w:t>
      </w:r>
    </w:p>
    <w:p>
      <w:pPr>
        <w:spacing w:after="0" w:line="27" w:lineRule="exact"/>
        <w:rPr>
          <w:rFonts w:ascii="Times New Roman" w:cs="Times New Roman" w:eastAsia="Times New Roman" w:hAnsi="Times New Roman"/>
          <w:sz w:val="18"/>
          <w:szCs w:val="18"/>
          <w:color w:val="auto"/>
        </w:rPr>
      </w:pPr>
    </w:p>
    <w:p>
      <w:pPr>
        <w:jc w:val="both"/>
        <w:ind w:left="500" w:firstLine="7"/>
        <w:spacing w:after="0" w:line="250" w:lineRule="auto"/>
        <w:tabs>
          <w:tab w:leader="none" w:pos="7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holders of Class B Ordinary Shares (and, where a holder is a Director Holding Vehicle, the Co-Founder holding and controlling such vehicle); (b) disclose the impact of a potential conversion of Class B Ordinary Shares into Class A Ordinary Shares on its share capital; and</w:t>
      </w:r>
    </w:p>
    <w:p>
      <w:pPr>
        <w:ind w:left="760" w:hanging="253"/>
        <w:spacing w:after="0"/>
        <w:tabs>
          <w:tab w:leader="none" w:pos="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all circumstances in which the weighted voting rights attached to the Class B Ordinary Shares shall cease.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500" w:hanging="492"/>
        <w:spacing w:after="0" w:line="282"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500" w:hanging="492"/>
        <w:spacing w:after="0" w:line="261"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500" w:hanging="492"/>
        <w:spacing w:after="0" w:line="258" w:lineRule="auto"/>
        <w:tabs>
          <w:tab w:leader="none" w:pos="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500" w:hanging="492"/>
        <w:spacing w:after="0" w:line="261" w:lineRule="auto"/>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ind w:left="500" w:hanging="492"/>
        <w:spacing w:after="0" w:line="252"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Shareholders, Directors and officers agree to submit to the jurisdiction of the courts of the Cayman Islands and Hong Kong, to the exclusion of other jurisdictions, to hear, settle and/or determine any dispute, controversy or claim (including any non-contractual dispute, controversy or claim) whether arising out of or in connection with these Articles or otherwise, including any question regarding their existence, validity, formation, or termination, save for in relation to any application or petition to wind-up the Company which the courts of the Cayman Islands shall have exclusive jurisdiction to determine. For the avoidance of doubt, without limiting the jurisdiction of the Cayman Courts and Hong Kong Courts to hear, settle and/or determine disputes related to the Company, no other courts shall have jurisdiction over or for (i) any derivative action or proceeding brought on behalf of the Company, (ii) any action asserting a claim of breach of a fiduciary duty owed by any Director, officer or other employee of the Company to the Company or the Company’s Members,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would be a claim arising under the internal affairs doctrine (as such concept is recognised under the laws of the United States from time to time). If, notwithstanding the above provisions, a court of the United States assumes jurisdiction to hear any proceedings, actions, claims, or complaints, however so called, that rely on the provisions of the Securities Act or the U.S. Securities Exchange Act of 1934 (as amended from time to time), then the federal courts of the United States shall have exclusive jurisdiction to hear, settle, and/or determine any such proceeding, action, claim or complaint to the exclusion of the state courts. Without prejudice to the foregoing, if any part of this Article is held to be illegal, invalid or unenforceable under applicable law, the illegal, invalid or unenforceable portion of this Article shall not affect or impair the legality, validity or enforceability of the rest of the Articles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 Announces Results of Annual General Meeting</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BEIJING, China, June 12, 2026—KE Holdings Inc. (“</w:t>
      </w:r>
      <w:r>
        <w:rPr>
          <w:rFonts w:ascii="Times New Roman" w:cs="Times New Roman" w:eastAsia="Times New Roman" w:hAnsi="Times New Roman"/>
          <w:sz w:val="18"/>
          <w:szCs w:val="18"/>
          <w:b w:val="1"/>
          <w:bCs w:val="1"/>
          <w:color w:val="auto"/>
        </w:rPr>
        <w:t>Beike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(NYSE: BEKE; HKEX: 2423), a leading integrated online and offline platform for housing transactions and services, today announced that each of the proposed resolutions submitted for shareholders’ approval (the “</w:t>
      </w:r>
      <w:r>
        <w:rPr>
          <w:rFonts w:ascii="Times New Roman" w:cs="Times New Roman" w:eastAsia="Times New Roman" w:hAnsi="Times New Roman"/>
          <w:sz w:val="18"/>
          <w:szCs w:val="18"/>
          <w:b w:val="1"/>
          <w:b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as set forth in the notice of annual general meeting dated April 24, 2026 has been adopted at the meeting held in Beijing, China today.</w:t>
      </w:r>
    </w:p>
    <w:p>
      <w:pPr>
        <w:spacing w:after="0" w:line="17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After the adoption of the Proposed Resolutions, all corporate authorizations and actions contemplated thereunder were approved, including, among other things, that (i) the Company’s existing memorandum and articles of association are amended and restated by their deletion in their entirety and by the substitution in their place of the seventh amended and restated memorandum and articles of association as set out in the circular of the Company</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dated April 24, 2026, (ii) each of Mr. Wangang Xu and Mr. Tao Xu is re-elected as an executive director of the Company and Mr. Hansong Zhu is re-elected as an independent non-executive director of the Company, and (iii) the directors of the Company are granted a general unconditional mandate to allot, issue and deal with additional Class A ordinary shares or equivalents and a general unconditional mandate to repurchase the Company’s own shares, respectively, on the terms and in the periods as set out in the notice of annual general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 Holdings Inc.</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KE Holdings Inc. is a leading integrated online and offline platform for housing transactions and services. The Company is a pioneer in building infrastructure and standards to reinvent how service providers and customers efficiently navigate and complete housing transactions and services in China, ranging from existing and new home sales, home rentals, to home renovation and furnishing, and other services. The Company owns and operates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China’s leading real estate brokerage brand and an integral part of its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With more than 24 years of operating experience</w:t>
      </w:r>
    </w:p>
    <w:p>
      <w:pPr>
        <w:spacing w:after="0" w:line="3"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since its inception in 2001, the Company believes the success and proven track record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pave the way for it to build its infrastructure and standards and drive the rapid and sustainable growth of Beike.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Beike may also make written or oral forward-looking statements in its periodic reports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Stock Exchange of Hong Kong Limited (the “</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 in its annual report to shareholders, in press releases and other written materials and in oral statements made by its officers, directors or employees to third parties. Statements that are not historical facts, including statements about KE Holdings Inc.’s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Beike’s goals and strategies; Beike’s future business development, financial condition and results of operations; expected changes in the Company’s revenues, costs or expenditures; Beike’s ability to empower services and facilitate transactions on Beike’s platform; competition in the industry in which Beike operates; relevant government policies and regulations relating to the industry; Beike’s ability to protect the Company’s systems and infrastructures from cyber-attacks; Beike’s dependence on the integrity of brokerage brands, stores and agents on the Company’s platform; general economic and business conditions in China and globally; and assumptions underlying or related to any of the foregoing. Further information regarding these and other risks is included in KE Holdings Inc.’s filings with the SEC and the Hong Kong Stock Exchange. All information provided in this press release is as of the date of this press release, and KE Holdings Inc. does not undertake any obligation to update any forward-looking statement, except as required under applicable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Siting 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ir@ke.com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ke@tpg-ir.com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ke@tpg-ir.com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KE Holdings Inc.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9" w:name="page50"/>
    <w:bookmarkEnd w:id="49"/>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123190</wp:posOffset>
            </wp:positionV>
            <wp:extent cx="1500505"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005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KE Holdings Inc.</w:t>
      </w:r>
    </w:p>
    <w:p>
      <w:pPr>
        <w:spacing w:after="0" w:line="34"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shd w:val="clear" w:color="auto" w:fill="231F20"/>
        </w:rPr>
        <w:t>貝殼控股有限公司</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2423)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POLL RESULTS OF THE ANNUAL GENERAL MEETING HELD ON JUNE 12,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We refer to the Notice of Annual General Meeting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dated April 24, 2026 (the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 and the circular to holders of the Company’s Shares (the “</w:t>
      </w:r>
      <w:r>
        <w:rPr>
          <w:rFonts w:ascii="Times New Roman" w:cs="Times New Roman" w:eastAsia="Times New Roman" w:hAnsi="Times New Roman"/>
          <w:sz w:val="18"/>
          <w:szCs w:val="18"/>
          <w:b w:val="1"/>
          <w:bCs w:val="1"/>
          <w:color w:val="231F20"/>
        </w:rPr>
        <w:t>Shareholders</w:t>
      </w:r>
      <w:r>
        <w:rPr>
          <w:rFonts w:ascii="Times New Roman" w:cs="Times New Roman" w:eastAsia="Times New Roman" w:hAnsi="Times New Roman"/>
          <w:sz w:val="18"/>
          <w:szCs w:val="18"/>
          <w:color w:val="231F20"/>
        </w:rPr>
        <w:t>”) dated April 24, 2026 (the “</w:t>
      </w:r>
      <w:r>
        <w:rPr>
          <w:rFonts w:ascii="Times New Roman" w:cs="Times New Roman" w:eastAsia="Times New Roman" w:hAnsi="Times New Roman"/>
          <w:sz w:val="18"/>
          <w:szCs w:val="18"/>
          <w:b w:val="1"/>
          <w:bCs w:val="1"/>
          <w:color w:val="231F20"/>
        </w:rPr>
        <w:t>Circular</w:t>
      </w:r>
      <w:r>
        <w:rPr>
          <w:rFonts w:ascii="Times New Roman" w:cs="Times New Roman" w:eastAsia="Times New Roman" w:hAnsi="Times New Roman"/>
          <w:sz w:val="18"/>
          <w:szCs w:val="18"/>
          <w:color w:val="231F20"/>
        </w:rPr>
        <w:t>”) of KE Holdings Inc.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Unless otherwise required by the context, capitalised terms used in this announcement shall have the same meanings as defined in the Notice and the Circular.</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the Company is pleased to announce that the AGM was held on June 12, 2026 at Oriental Electronic Technology Building, No. 2 Chuangye Road, Haidian District, Beijing, PRC. All resolutions at the AGM have been duly passed. As of the Share Record Date, the total number of issued Shares was 3,493,775,978 Shares, comprising 3,356,594,900 Class A ordinary shares and 137,181,078 Class B ordinary shares. A total of 118,936,057 Class A ordinary shares issued for future exercise or vesting of awards granted under the Company’s share incentive plans were not eligible for voting. As of the Share Record Date, there were (a) no treasury Shares held by the Company (including any treasury Shares held or deposited with CCASS) and (b) 25,478,133 Class A ordinary shares underlying 8,492,711 ADSs repurchased by the Company were pending cancellation, which, for the purpose of the AGM, were excluded from the total number of issued Shares entitled to attend and vote at the AGM, and the Company did not exercise any voting rights attached to those repurchased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Save as disclosed above, there was no Shareholder who was required to abstain from voting under the Listing Rules on any resolution proposed at the AGM, nor any Shareholder who was entitled to attend the AGM but was required to abstain from voting in favour of any resolution at the AGM pursuant to Rule 13.40 of the Listing Rules. No Shareholder has indicated in the Circular that he or she intends to vote against or in abstention in respect of any resolution proposed at the AGM.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Accordingly, the total number of shares of the Company entitling the holder to attend and vote on the resolutions numbered 1 to 7 at the AGM was 3,349,361,788 Shares, comprising 3,212,180,710 Class A ordinary shares and 137,181,078 Class B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According to the Company’s Sixth Amended and Restated Memorandum and Articles of Association (the “</w:t>
      </w:r>
      <w:r>
        <w:rPr>
          <w:rFonts w:ascii="Times New Roman" w:cs="Times New Roman" w:eastAsia="Times New Roman" w:hAnsi="Times New Roman"/>
          <w:sz w:val="18"/>
          <w:szCs w:val="18"/>
          <w:b w:val="1"/>
          <w:bCs w:val="1"/>
          <w:color w:val="231F20"/>
        </w:rPr>
        <w:t>Memorandum and Articles of Association</w:t>
      </w:r>
      <w:r>
        <w:rPr>
          <w:rFonts w:ascii="Times New Roman" w:cs="Times New Roman" w:eastAsia="Times New Roman" w:hAnsi="Times New Roman"/>
          <w:sz w:val="18"/>
          <w:szCs w:val="18"/>
          <w:color w:val="231F20"/>
        </w:rPr>
        <w:t>”),</w:t>
      </w:r>
    </w:p>
    <w:p>
      <w:pPr>
        <w:spacing w:after="0" w:line="31" w:lineRule="exact"/>
        <w:rPr>
          <w:sz w:val="20"/>
          <w:szCs w:val="20"/>
          <w:color w:val="auto"/>
        </w:rPr>
      </w:pPr>
    </w:p>
    <w:p>
      <w:pPr>
        <w:jc w:val="both"/>
        <w:ind w:firstLine="8"/>
        <w:spacing w:after="0" w:line="255" w:lineRule="auto"/>
        <w:tabs>
          <w:tab w:leader="none" w:pos="236"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 regard to the resolutions 1, 2(a)(i), 2(a)(ii), 2(b), 4, 5 and 6, each Class A ordinary share shall entitle its holder to one vote and each Class B ordinary share shall entitle its holder to ten votes on a poll at the AGM; (ii) with regard to the resolutions 2(a)(iii), 3 and 7, each Class A ordinary share and each Class B ordinary share shall entitle its holder to one vote on a poll at the AGM.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231F20"/>
        </w:rPr>
        <w:t>In accordance with the provisions of the Listing Rules, voting on the resolutions at the AGM was conducted by way of poll. The voting results in respect of the resolutions proposed at the AGM are set out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940" w:type="dxa"/>
            <w:vAlign w:val="bottom"/>
            <w:tcBorders>
              <w:top w:val="single" w:sz="8" w:color="231F20"/>
              <w:left w:val="single" w:sz="8" w:color="231F20"/>
            </w:tcBorders>
          </w:tcPr>
          <w:p>
            <w:pPr>
              <w:spacing w:after="0"/>
              <w:rPr>
                <w:sz w:val="24"/>
                <w:szCs w:val="24"/>
                <w:color w:val="auto"/>
              </w:rPr>
            </w:pPr>
          </w:p>
        </w:tc>
        <w:tc>
          <w:tcPr>
            <w:tcW w:w="2360" w:type="dxa"/>
            <w:vAlign w:val="bottom"/>
            <w:tcBorders>
              <w:top w:val="single" w:sz="8" w:color="231F20"/>
            </w:tcBorders>
          </w:tcPr>
          <w:p>
            <w:pPr>
              <w:spacing w:after="0"/>
              <w:rPr>
                <w:sz w:val="24"/>
                <w:szCs w:val="24"/>
                <w:color w:val="auto"/>
              </w:rPr>
            </w:pPr>
          </w:p>
        </w:tc>
        <w:tc>
          <w:tcPr>
            <w:tcW w:w="1240" w:type="dxa"/>
            <w:vAlign w:val="bottom"/>
            <w:tcBorders>
              <w:top w:val="single" w:sz="8" w:color="231F20"/>
              <w:right w:val="single" w:sz="8" w:color="231F20"/>
            </w:tcBorders>
          </w:tcPr>
          <w:p>
            <w:pPr>
              <w:spacing w:after="0"/>
              <w:rPr>
                <w:sz w:val="24"/>
                <w:szCs w:val="24"/>
                <w:color w:val="auto"/>
              </w:rPr>
            </w:pPr>
          </w:p>
        </w:tc>
        <w:tc>
          <w:tcPr>
            <w:tcW w:w="404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 VOTES CAST AND</w:t>
            </w:r>
          </w:p>
        </w:tc>
        <w:tc>
          <w:tcPr>
            <w:tcW w:w="13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0" w:type="dxa"/>
            <w:vAlign w:val="bottom"/>
          </w:tcPr>
          <w:p>
            <w:pPr>
              <w:spacing w:after="0"/>
              <w:rPr>
                <w:sz w:val="1"/>
                <w:szCs w:val="1"/>
                <w:color w:val="auto"/>
              </w:rPr>
            </w:pPr>
          </w:p>
        </w:tc>
      </w:tr>
      <w:tr>
        <w:trPr>
          <w:trHeight w:val="238"/>
        </w:trPr>
        <w:tc>
          <w:tcPr>
            <w:tcW w:w="940" w:type="dxa"/>
            <w:vAlign w:val="bottom"/>
            <w:tcBorders>
              <w:left w:val="single" w:sz="8" w:color="231F20"/>
            </w:tcBorders>
          </w:tcPr>
          <w:p>
            <w:pPr>
              <w:spacing w:after="0"/>
              <w:rPr>
                <w:sz w:val="20"/>
                <w:szCs w:val="20"/>
                <w:color w:val="auto"/>
              </w:rPr>
            </w:pPr>
          </w:p>
        </w:tc>
        <w:tc>
          <w:tcPr>
            <w:tcW w:w="3600" w:type="dxa"/>
            <w:vAlign w:val="bottom"/>
            <w:tcBorders>
              <w:right w:val="single" w:sz="8" w:color="231F20"/>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860" w:type="dxa"/>
            <w:vAlign w:val="bottom"/>
            <w:tcBorders>
              <w:bottom w:val="single" w:sz="8" w:color="231F20"/>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231F20"/>
                <w:w w:val="99"/>
              </w:rPr>
              <w:t>PERCENTAGE (%)</w:t>
            </w:r>
          </w:p>
        </w:tc>
        <w:tc>
          <w:tcPr>
            <w:tcW w:w="1180" w:type="dxa"/>
            <w:vAlign w:val="bottom"/>
            <w:tcBorders>
              <w:bottom w:val="single" w:sz="8" w:color="231F20"/>
              <w:right w:val="single" w:sz="8" w:color="231F20"/>
            </w:tcBorders>
          </w:tcPr>
          <w:p>
            <w:pPr>
              <w:spacing w:after="0"/>
              <w:rPr>
                <w:sz w:val="20"/>
                <w:szCs w:val="20"/>
                <w:color w:val="auto"/>
              </w:rPr>
            </w:pP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88"/>
        </w:trPr>
        <w:tc>
          <w:tcPr>
            <w:tcW w:w="940" w:type="dxa"/>
            <w:vAlign w:val="bottom"/>
            <w:tcBorders>
              <w:left w:val="single" w:sz="8" w:color="231F20"/>
            </w:tcBorders>
          </w:tcPr>
          <w:p>
            <w:pPr>
              <w:spacing w:after="0"/>
              <w:rPr>
                <w:sz w:val="7"/>
                <w:szCs w:val="7"/>
                <w:color w:val="auto"/>
              </w:rPr>
            </w:pPr>
          </w:p>
        </w:tc>
        <w:tc>
          <w:tcPr>
            <w:tcW w:w="3600" w:type="dxa"/>
            <w:vAlign w:val="bottom"/>
            <w:tcBorders>
              <w:right w:val="single" w:sz="8" w:color="231F20"/>
            </w:tcBorders>
            <w:gridSpan w:val="2"/>
            <w:vMerge w:val="continue"/>
          </w:tcPr>
          <w:p>
            <w:pPr>
              <w:spacing w:after="0"/>
              <w:rPr>
                <w:sz w:val="7"/>
                <w:szCs w:val="7"/>
                <w:color w:val="auto"/>
              </w:rPr>
            </w:pPr>
          </w:p>
        </w:tc>
        <w:tc>
          <w:tcPr>
            <w:tcW w:w="1340" w:type="dxa"/>
            <w:vAlign w:val="bottom"/>
            <w:tcBorders>
              <w:right w:val="single" w:sz="8" w:color="231F20"/>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360" w:type="dxa"/>
            <w:vAlign w:val="bottom"/>
            <w:tcBorders>
              <w:right w:val="single" w:sz="8" w:color="231F20"/>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160" w:type="dxa"/>
            <w:vAlign w:val="bottom"/>
          </w:tcPr>
          <w:p>
            <w:pPr>
              <w:spacing w:after="0"/>
              <w:rPr>
                <w:sz w:val="7"/>
                <w:szCs w:val="7"/>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w w:val="95"/>
              </w:rPr>
              <w:t>ABSTAIN</w:t>
            </w:r>
            <w:r>
              <w:rPr>
                <w:rFonts w:ascii="Times New Roman" w:cs="Times New Roman" w:eastAsia="Times New Roman" w:hAnsi="Times New Roman"/>
                <w:sz w:val="29"/>
                <w:szCs w:val="29"/>
                <w:color w:val="231F20"/>
                <w:w w:val="95"/>
                <w:vertAlign w:val="superscript"/>
              </w:rPr>
              <w:t>1</w:t>
            </w:r>
          </w:p>
        </w:tc>
        <w:tc>
          <w:tcPr>
            <w:tcW w:w="1320" w:type="dxa"/>
            <w:vAlign w:val="bottom"/>
            <w:tcBorders>
              <w:right w:val="single" w:sz="8" w:color="231F20"/>
            </w:tcBorders>
            <w:vMerge w:val="restart"/>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231F20"/>
                <w:w w:val="99"/>
              </w:rPr>
              <w:t>OF VOTING</w:t>
            </w:r>
          </w:p>
        </w:tc>
        <w:tc>
          <w:tcPr>
            <w:tcW w:w="1340" w:type="dxa"/>
            <w:vAlign w:val="bottom"/>
            <w:tcBorders>
              <w:right w:val="single" w:sz="8" w:color="231F20"/>
            </w:tcBorders>
            <w:vMerge w:val="restart"/>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231F20"/>
              </w:rPr>
              <w:t>VOTES CAST</w:t>
            </w:r>
          </w:p>
        </w:tc>
        <w:tc>
          <w:tcPr>
            <w:tcW w:w="0" w:type="dxa"/>
            <w:vAlign w:val="bottom"/>
          </w:tcPr>
          <w:p>
            <w:pPr>
              <w:spacing w:after="0"/>
              <w:rPr>
                <w:sz w:val="1"/>
                <w:szCs w:val="1"/>
                <w:color w:val="auto"/>
              </w:rPr>
            </w:pPr>
          </w:p>
        </w:tc>
      </w:tr>
      <w:tr>
        <w:trPr>
          <w:trHeight w:val="86"/>
        </w:trPr>
        <w:tc>
          <w:tcPr>
            <w:tcW w:w="940" w:type="dxa"/>
            <w:vAlign w:val="bottom"/>
            <w:tcBorders>
              <w:left w:val="single" w:sz="8" w:color="231F20"/>
            </w:tcBorders>
          </w:tcPr>
          <w:p>
            <w:pPr>
              <w:spacing w:after="0"/>
              <w:rPr>
                <w:sz w:val="7"/>
                <w:szCs w:val="7"/>
                <w:color w:val="auto"/>
              </w:rPr>
            </w:pPr>
          </w:p>
        </w:tc>
        <w:tc>
          <w:tcPr>
            <w:tcW w:w="236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940" w:type="dxa"/>
            <w:vAlign w:val="bottom"/>
            <w:tcBorders>
              <w:left w:val="single" w:sz="8" w:color="231F20"/>
            </w:tcBorders>
          </w:tcPr>
          <w:p>
            <w:pPr>
              <w:spacing w:after="0"/>
              <w:rPr>
                <w:sz w:val="16"/>
                <w:szCs w:val="16"/>
                <w:color w:val="auto"/>
              </w:rPr>
            </w:pPr>
          </w:p>
        </w:tc>
        <w:tc>
          <w:tcPr>
            <w:tcW w:w="2360" w:type="dxa"/>
            <w:vAlign w:val="bottom"/>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1340" w:type="dxa"/>
            <w:vAlign w:val="bottom"/>
            <w:tcBorders>
              <w:right w:val="single" w:sz="8" w:color="231F20"/>
            </w:tcBorders>
            <w:vMerge w:val="continue"/>
          </w:tcPr>
          <w:p>
            <w:pPr>
              <w:spacing w:after="0"/>
              <w:rPr>
                <w:sz w:val="16"/>
                <w:szCs w:val="16"/>
                <w:color w:val="auto"/>
              </w:rPr>
            </w:pPr>
          </w:p>
        </w:tc>
        <w:tc>
          <w:tcPr>
            <w:tcW w:w="1360" w:type="dxa"/>
            <w:vAlign w:val="bottom"/>
            <w:tcBorders>
              <w:right w:val="single" w:sz="8" w:color="231F20"/>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right w:val="single" w:sz="8" w:color="231F20"/>
            </w:tcBorders>
            <w:vMerge w:val="continue"/>
          </w:tcPr>
          <w:p>
            <w:pPr>
              <w:spacing w:after="0"/>
              <w:rPr>
                <w:sz w:val="16"/>
                <w:szCs w:val="16"/>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34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231F20"/>
              <w:bottom w:val="single" w:sz="8" w:color="231F20"/>
            </w:tcBorders>
          </w:tcPr>
          <w:p>
            <w:pPr>
              <w:spacing w:after="0"/>
              <w:rPr>
                <w:sz w:val="4"/>
                <w:szCs w:val="4"/>
                <w:color w:val="auto"/>
              </w:rPr>
            </w:pPr>
          </w:p>
        </w:tc>
        <w:tc>
          <w:tcPr>
            <w:tcW w:w="2360" w:type="dxa"/>
            <w:vAlign w:val="bottom"/>
            <w:tcBorders>
              <w:bottom w:val="single" w:sz="8" w:color="231F20"/>
            </w:tcBorders>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134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160" w:type="dxa"/>
            <w:vAlign w:val="bottom"/>
            <w:tcBorders>
              <w:bottom w:val="single" w:sz="8" w:color="231F20"/>
            </w:tcBorders>
          </w:tcPr>
          <w:p>
            <w:pPr>
              <w:spacing w:after="0"/>
              <w:rPr>
                <w:sz w:val="4"/>
                <w:szCs w:val="4"/>
                <w:color w:val="auto"/>
              </w:rPr>
            </w:pPr>
          </w:p>
        </w:tc>
        <w:tc>
          <w:tcPr>
            <w:tcW w:w="1180" w:type="dxa"/>
            <w:vAlign w:val="bottom"/>
            <w:tcBorders>
              <w:bottom w:val="single" w:sz="8" w:color="231F20"/>
              <w:right w:val="single" w:sz="8" w:color="231F20"/>
            </w:tcBorders>
          </w:tcPr>
          <w:p>
            <w:pPr>
              <w:spacing w:after="0"/>
              <w:rPr>
                <w:sz w:val="4"/>
                <w:szCs w:val="4"/>
                <w:color w:val="auto"/>
              </w:rPr>
            </w:pPr>
          </w:p>
        </w:tc>
        <w:tc>
          <w:tcPr>
            <w:tcW w:w="1320" w:type="dxa"/>
            <w:vAlign w:val="bottom"/>
            <w:tcBorders>
              <w:bottom w:val="single" w:sz="8" w:color="231F20"/>
              <w:right w:val="single" w:sz="8" w:color="231F20"/>
            </w:tcBorders>
            <w:vMerge w:val="continue"/>
          </w:tcPr>
          <w:p>
            <w:pPr>
              <w:spacing w:after="0"/>
              <w:rPr>
                <w:sz w:val="4"/>
                <w:szCs w:val="4"/>
                <w:color w:val="auto"/>
              </w:rPr>
            </w:pPr>
          </w:p>
        </w:tc>
        <w:tc>
          <w:tcPr>
            <w:tcW w:w="13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1.</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w w:val="99"/>
              </w:rPr>
              <w:t>To receive, consider, and adopt</w:t>
            </w: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2,588,938,266</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104,985</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50"/>
              <w:spacing w:after="0"/>
              <w:rPr>
                <w:sz w:val="20"/>
                <w:szCs w:val="20"/>
                <w:color w:val="auto"/>
              </w:rPr>
            </w:pPr>
            <w:r>
              <w:rPr>
                <w:rFonts w:ascii="Times New Roman" w:cs="Times New Roman" w:eastAsia="Times New Roman" w:hAnsi="Times New Roman"/>
                <w:sz w:val="18"/>
                <w:szCs w:val="18"/>
                <w:color w:val="231F20"/>
                <w:w w:val="99"/>
              </w:rPr>
              <w:t>1,149,496</w:t>
            </w:r>
          </w:p>
        </w:tc>
        <w:tc>
          <w:tcPr>
            <w:tcW w:w="1320" w:type="dxa"/>
            <w:vAlign w:val="bottom"/>
            <w:tcBorders>
              <w:right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2,589,043,251</w:t>
            </w:r>
          </w:p>
        </w:tc>
        <w:tc>
          <w:tcPr>
            <w:tcW w:w="1340" w:type="dxa"/>
            <w:vAlign w:val="bottom"/>
            <w:tcBorders>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rPr>
              <w:t>2,589,043,251</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the audited consolidated</w:t>
            </w: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(99.995945%)</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(0.004055%)</w:t>
            </w:r>
          </w:p>
        </w:tc>
        <w:tc>
          <w:tcPr>
            <w:tcW w:w="160" w:type="dxa"/>
            <w:vAlign w:val="bottom"/>
          </w:tcPr>
          <w:p>
            <w:pPr>
              <w:spacing w:after="0"/>
              <w:rPr>
                <w:sz w:val="18"/>
                <w:szCs w:val="18"/>
                <w:color w:val="auto"/>
              </w:rPr>
            </w:pPr>
          </w:p>
        </w:tc>
        <w:tc>
          <w:tcPr>
            <w:tcW w:w="118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statements of the</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1,371,810,780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8"/>
                <w:szCs w:val="8"/>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180"/>
        </w:trPr>
        <w:tc>
          <w:tcPr>
            <w:tcW w:w="940" w:type="dxa"/>
            <w:vAlign w:val="bottom"/>
            <w:tcBorders>
              <w:left w:val="single" w:sz="8" w:color="231F20"/>
              <w:right w:val="single" w:sz="8" w:color="231F20"/>
            </w:tcBorders>
          </w:tcPr>
          <w:p>
            <w:pPr>
              <w:spacing w:after="0"/>
              <w:rPr>
                <w:sz w:val="15"/>
                <w:szCs w:val="15"/>
                <w:color w:val="auto"/>
              </w:rPr>
            </w:pPr>
          </w:p>
        </w:tc>
        <w:tc>
          <w:tcPr>
            <w:tcW w:w="2360" w:type="dxa"/>
            <w:vAlign w:val="bottom"/>
            <w:tcBorders>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Company as of and for the</w:t>
            </w:r>
          </w:p>
        </w:tc>
        <w:tc>
          <w:tcPr>
            <w:tcW w:w="124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231F20"/>
            </w:tcBorders>
            <w:vMerge w:val="continue"/>
          </w:tcPr>
          <w:p>
            <w:pPr>
              <w:spacing w:after="0"/>
              <w:rPr>
                <w:sz w:val="15"/>
                <w:szCs w:val="15"/>
                <w:color w:val="auto"/>
              </w:rPr>
            </w:pPr>
          </w:p>
        </w:tc>
        <w:tc>
          <w:tcPr>
            <w:tcW w:w="132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40" w:type="dxa"/>
            <w:vAlign w:val="bottom"/>
            <w:tcBorders>
              <w:left w:val="single" w:sz="8" w:color="231F20"/>
              <w:right w:val="single" w:sz="8" w:color="231F20"/>
            </w:tcBorders>
          </w:tcPr>
          <w:p>
            <w:pPr>
              <w:spacing w:after="0"/>
              <w:rPr>
                <w:sz w:val="21"/>
                <w:szCs w:val="21"/>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w w:val="99"/>
              </w:rPr>
              <w:t>year ended December 31, 2025</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1"/>
                <w:szCs w:val="21"/>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940" w:type="dxa"/>
            <w:vAlign w:val="bottom"/>
            <w:tcBorders>
              <w:left w:val="single" w:sz="8" w:color="231F20"/>
              <w:right w:val="single" w:sz="8" w:color="231F20"/>
            </w:tcBorders>
          </w:tcPr>
          <w:p>
            <w:pPr>
              <w:spacing w:after="0"/>
              <w:rPr>
                <w:sz w:val="5"/>
                <w:szCs w:val="5"/>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and the report of the auditors</w:t>
            </w:r>
          </w:p>
        </w:tc>
        <w:tc>
          <w:tcPr>
            <w:tcW w:w="124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1180" w:type="dxa"/>
            <w:vAlign w:val="bottom"/>
            <w:tcBorders>
              <w:bottom w:val="single" w:sz="8" w:color="231F20"/>
              <w:right w:val="single" w:sz="8" w:color="231F20"/>
            </w:tcBorders>
          </w:tcPr>
          <w:p>
            <w:pPr>
              <w:spacing w:after="0"/>
              <w:rPr>
                <w:sz w:val="5"/>
                <w:szCs w:val="5"/>
                <w:color w:val="auto"/>
              </w:rPr>
            </w:pPr>
          </w:p>
        </w:tc>
        <w:tc>
          <w:tcPr>
            <w:tcW w:w="132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continue"/>
          </w:tcPr>
          <w:p>
            <w:pPr>
              <w:spacing w:after="0"/>
              <w:rPr>
                <w:sz w:val="11"/>
                <w:szCs w:val="11"/>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3,960,749,046</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104,985</w:t>
            </w:r>
          </w:p>
        </w:tc>
        <w:tc>
          <w:tcPr>
            <w:tcW w:w="160" w:type="dxa"/>
            <w:vAlign w:val="bottom"/>
          </w:tcPr>
          <w:p>
            <w:pPr>
              <w:spacing w:after="0"/>
              <w:rPr>
                <w:sz w:val="11"/>
                <w:szCs w:val="11"/>
                <w:color w:val="auto"/>
              </w:rPr>
            </w:pPr>
          </w:p>
        </w:tc>
        <w:tc>
          <w:tcPr>
            <w:tcW w:w="1180" w:type="dxa"/>
            <w:vAlign w:val="bottom"/>
            <w:tcBorders>
              <w:right w:val="single" w:sz="8" w:color="231F20"/>
            </w:tcBorders>
            <w:vMerge w:val="restart"/>
          </w:tcPr>
          <w:p>
            <w:pPr>
              <w:ind w:left="360"/>
              <w:spacing w:after="0"/>
              <w:rPr>
                <w:sz w:val="20"/>
                <w:szCs w:val="20"/>
                <w:color w:val="auto"/>
              </w:rPr>
            </w:pPr>
            <w:r>
              <w:rPr>
                <w:rFonts w:ascii="Times New Roman" w:cs="Times New Roman" w:eastAsia="Times New Roman" w:hAnsi="Times New Roman"/>
                <w:sz w:val="18"/>
                <w:szCs w:val="18"/>
                <w:color w:val="231F20"/>
              </w:rPr>
              <w:t>1,149,496</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8"/>
              </w:rPr>
              <w:t>2,726,224,329</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3,960,854,031</w:t>
            </w: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thereon.</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(99.997349%)</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(0.002651%)</w:t>
            </w:r>
          </w:p>
        </w:tc>
        <w:tc>
          <w:tcPr>
            <w:tcW w:w="160" w:type="dxa"/>
            <w:vAlign w:val="bottom"/>
          </w:tcPr>
          <w:p>
            <w:pPr>
              <w:spacing w:after="0"/>
              <w:rPr>
                <w:sz w:val="8"/>
                <w:szCs w:val="8"/>
                <w:color w:val="auto"/>
              </w:rPr>
            </w:pPr>
          </w:p>
        </w:tc>
        <w:tc>
          <w:tcPr>
            <w:tcW w:w="1180" w:type="dxa"/>
            <w:vAlign w:val="bottom"/>
            <w:tcBorders>
              <w:right w:val="single" w:sz="8" w:color="231F20"/>
            </w:tcBorders>
            <w:vMerge w:val="restart"/>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34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231F20"/>
            </w:tcBorders>
            <w:vMerge w:val="continue"/>
          </w:tcPr>
          <w:p>
            <w:pPr>
              <w:spacing w:after="0"/>
              <w:rPr>
                <w:sz w:val="10"/>
                <w:szCs w:val="10"/>
                <w:color w:val="auto"/>
              </w:rPr>
            </w:pP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2(a)(i)</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re-elect Mr. Wangang Xu</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2,553,860,805</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35,869,343</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8"/>
                <w:szCs w:val="18"/>
                <w:color w:val="231F20"/>
                <w:w w:val="99"/>
              </w:rPr>
              <w:t>462,896</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2,589,730,148</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2,589,730,148</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as an executive Director.</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(98.614939%)</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(1.385061%)</w:t>
            </w:r>
          </w:p>
        </w:tc>
        <w:tc>
          <w:tcPr>
            <w:tcW w:w="160" w:type="dxa"/>
            <w:vAlign w:val="bottom"/>
          </w:tcPr>
          <w:p>
            <w:pPr>
              <w:spacing w:after="0"/>
              <w:rPr>
                <w:sz w:val="20"/>
                <w:szCs w:val="20"/>
                <w:color w:val="auto"/>
              </w:rPr>
            </w:pPr>
          </w:p>
        </w:tc>
        <w:tc>
          <w:tcPr>
            <w:tcW w:w="118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2360" w:type="dxa"/>
            <w:vAlign w:val="bottom"/>
            <w:tcBorders>
              <w:right w:val="single" w:sz="8" w:color="231F20"/>
            </w:tcBorders>
          </w:tcPr>
          <w:p>
            <w:pPr>
              <w:spacing w:after="0"/>
              <w:rPr>
                <w:sz w:val="23"/>
                <w:szCs w:val="23"/>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1,371,810,780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0"/>
                <w:szCs w:val="20"/>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2360" w:type="dxa"/>
            <w:vAlign w:val="bottom"/>
            <w:tcBorders>
              <w:right w:val="single" w:sz="8" w:color="231F20"/>
            </w:tcBorders>
          </w:tcPr>
          <w:p>
            <w:pPr>
              <w:spacing w:after="0"/>
              <w:rPr>
                <w:sz w:val="23"/>
                <w:szCs w:val="23"/>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3,925,671,585</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35,869,343</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8"/>
                <w:szCs w:val="18"/>
                <w:color w:val="231F20"/>
                <w:w w:val="99"/>
              </w:rPr>
              <w:t>462,896</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2,726,911,226</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3,961,540,928</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(99.094561%)</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(0.905439%)</w:t>
            </w:r>
          </w:p>
        </w:tc>
        <w:tc>
          <w:tcPr>
            <w:tcW w:w="160" w:type="dxa"/>
            <w:vAlign w:val="bottom"/>
          </w:tcPr>
          <w:p>
            <w:pPr>
              <w:spacing w:after="0"/>
              <w:rPr>
                <w:sz w:val="18"/>
                <w:szCs w:val="18"/>
                <w:color w:val="auto"/>
              </w:rPr>
            </w:pPr>
          </w:p>
        </w:tc>
        <w:tc>
          <w:tcPr>
            <w:tcW w:w="118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640" w:right="160" w:hanging="632"/>
        <w:spacing w:after="0" w:line="282" w:lineRule="auto"/>
        <w:tabs>
          <w:tab w:leader="none" w:pos="64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According to the Companies Act (Revised) of the Cayman Islands and the Memorandum and Articles of Association, the Shares in abstention do not need to be calculated as votes.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88"/>
        </w:trPr>
        <w:tc>
          <w:tcPr>
            <w:tcW w:w="940" w:type="dxa"/>
            <w:vAlign w:val="bottom"/>
            <w:tcBorders>
              <w:top w:val="single" w:sz="8" w:color="231F20"/>
              <w:left w:val="single" w:sz="8" w:color="231F20"/>
            </w:tcBorders>
          </w:tcPr>
          <w:p>
            <w:pPr>
              <w:spacing w:after="0"/>
              <w:rPr>
                <w:sz w:val="24"/>
                <w:szCs w:val="24"/>
                <w:color w:val="auto"/>
              </w:rPr>
            </w:pPr>
          </w:p>
        </w:tc>
        <w:tc>
          <w:tcPr>
            <w:tcW w:w="2360" w:type="dxa"/>
            <w:vAlign w:val="bottom"/>
            <w:tcBorders>
              <w:top w:val="single" w:sz="8" w:color="231F20"/>
            </w:tcBorders>
          </w:tcPr>
          <w:p>
            <w:pPr>
              <w:spacing w:after="0"/>
              <w:rPr>
                <w:sz w:val="24"/>
                <w:szCs w:val="24"/>
                <w:color w:val="auto"/>
              </w:rPr>
            </w:pPr>
          </w:p>
        </w:tc>
        <w:tc>
          <w:tcPr>
            <w:tcW w:w="1240" w:type="dxa"/>
            <w:vAlign w:val="bottom"/>
            <w:tcBorders>
              <w:top w:val="single" w:sz="8" w:color="231F20"/>
              <w:right w:val="single" w:sz="8" w:color="231F20"/>
            </w:tcBorders>
          </w:tcPr>
          <w:p>
            <w:pPr>
              <w:spacing w:after="0"/>
              <w:rPr>
                <w:sz w:val="24"/>
                <w:szCs w:val="24"/>
                <w:color w:val="auto"/>
              </w:rPr>
            </w:pPr>
          </w:p>
        </w:tc>
        <w:tc>
          <w:tcPr>
            <w:tcW w:w="404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 VOTES CAST AND</w:t>
            </w:r>
          </w:p>
        </w:tc>
        <w:tc>
          <w:tcPr>
            <w:tcW w:w="13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5"/>
              </w:rPr>
              <w:t>TOTAL</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tcBorders>
          </w:tcPr>
          <w:p>
            <w:pPr>
              <w:spacing w:after="0"/>
              <w:rPr>
                <w:sz w:val="18"/>
                <w:szCs w:val="18"/>
                <w:color w:val="auto"/>
              </w:rPr>
            </w:pPr>
          </w:p>
        </w:tc>
        <w:tc>
          <w:tcPr>
            <w:tcW w:w="3600" w:type="dxa"/>
            <w:vAlign w:val="bottom"/>
            <w:tcBorders>
              <w:right w:val="single" w:sz="8" w:color="231F20"/>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86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231F20"/>
                <w:w w:val="99"/>
              </w:rPr>
              <w:t>PERCENTAGE (%)</w:t>
            </w: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36"/>
        </w:trPr>
        <w:tc>
          <w:tcPr>
            <w:tcW w:w="940" w:type="dxa"/>
            <w:vAlign w:val="bottom"/>
            <w:tcBorders>
              <w:left w:val="single" w:sz="8" w:color="231F20"/>
            </w:tcBorders>
          </w:tcPr>
          <w:p>
            <w:pPr>
              <w:spacing w:after="0"/>
              <w:rPr>
                <w:sz w:val="3"/>
                <w:szCs w:val="3"/>
                <w:color w:val="auto"/>
              </w:rPr>
            </w:pPr>
          </w:p>
        </w:tc>
        <w:tc>
          <w:tcPr>
            <w:tcW w:w="3600" w:type="dxa"/>
            <w:vAlign w:val="bottom"/>
            <w:tcBorders>
              <w:right w:val="single" w:sz="8" w:color="231F20"/>
            </w:tcBorders>
            <w:gridSpan w:val="2"/>
            <w:vMerge w:val="continue"/>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VOTES CAST</w:t>
            </w:r>
          </w:p>
        </w:tc>
        <w:tc>
          <w:tcPr>
            <w:tcW w:w="0" w:type="dxa"/>
            <w:vAlign w:val="bottom"/>
          </w:tcPr>
          <w:p>
            <w:pPr>
              <w:spacing w:after="0"/>
              <w:rPr>
                <w:sz w:val="1"/>
                <w:szCs w:val="1"/>
                <w:color w:val="auto"/>
              </w:rPr>
            </w:pPr>
          </w:p>
        </w:tc>
      </w:tr>
      <w:tr>
        <w:trPr>
          <w:trHeight w:val="75"/>
        </w:trPr>
        <w:tc>
          <w:tcPr>
            <w:tcW w:w="940" w:type="dxa"/>
            <w:vAlign w:val="bottom"/>
            <w:tcBorders>
              <w:left w:val="single" w:sz="8" w:color="231F20"/>
            </w:tcBorders>
          </w:tcPr>
          <w:p>
            <w:pPr>
              <w:spacing w:after="0"/>
              <w:rPr>
                <w:sz w:val="6"/>
                <w:szCs w:val="6"/>
                <w:color w:val="auto"/>
              </w:rPr>
            </w:pPr>
          </w:p>
        </w:tc>
        <w:tc>
          <w:tcPr>
            <w:tcW w:w="3600" w:type="dxa"/>
            <w:vAlign w:val="bottom"/>
            <w:tcBorders>
              <w:right w:val="single" w:sz="8" w:color="231F20"/>
            </w:tcBorders>
            <w:gridSpan w:val="2"/>
            <w:vMerge w:val="continue"/>
          </w:tcPr>
          <w:p>
            <w:pPr>
              <w:spacing w:after="0"/>
              <w:rPr>
                <w:sz w:val="6"/>
                <w:szCs w:val="6"/>
                <w:color w:val="auto"/>
              </w:rPr>
            </w:pPr>
          </w:p>
        </w:tc>
        <w:tc>
          <w:tcPr>
            <w:tcW w:w="1340" w:type="dxa"/>
            <w:vAlign w:val="bottom"/>
            <w:tcBorders>
              <w:right w:val="single" w:sz="8" w:color="231F20"/>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200" w:type="dxa"/>
            <w:vAlign w:val="bottom"/>
          </w:tcPr>
          <w:p>
            <w:pPr>
              <w:spacing w:after="0"/>
              <w:rPr>
                <w:sz w:val="6"/>
                <w:szCs w:val="6"/>
                <w:color w:val="auto"/>
              </w:rPr>
            </w:pPr>
          </w:p>
        </w:tc>
        <w:tc>
          <w:tcPr>
            <w:tcW w:w="1180" w:type="dxa"/>
            <w:vAlign w:val="bottom"/>
            <w:tcBorders>
              <w:right w:val="single" w:sz="8" w:color="231F20"/>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9"/>
              </w:rPr>
              <w:t>ABSTAIN</w:t>
            </w:r>
          </w:p>
        </w:tc>
        <w:tc>
          <w:tcPr>
            <w:tcW w:w="132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40" w:type="dxa"/>
            <w:vAlign w:val="bottom"/>
            <w:tcBorders>
              <w:left w:val="single" w:sz="8" w:color="231F20"/>
            </w:tcBorders>
          </w:tcPr>
          <w:p>
            <w:pPr>
              <w:spacing w:after="0"/>
              <w:rPr>
                <w:sz w:val="7"/>
                <w:szCs w:val="7"/>
                <w:color w:val="auto"/>
              </w:rPr>
            </w:pPr>
          </w:p>
        </w:tc>
        <w:tc>
          <w:tcPr>
            <w:tcW w:w="236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tcBorders>
              <w:left w:val="single" w:sz="8" w:color="231F20"/>
            </w:tcBorders>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231F20"/>
              <w:bottom w:val="single" w:sz="8" w:color="231F20"/>
            </w:tcBorders>
          </w:tcPr>
          <w:p>
            <w:pPr>
              <w:spacing w:after="0"/>
              <w:rPr>
                <w:sz w:val="9"/>
                <w:szCs w:val="9"/>
                <w:color w:val="auto"/>
              </w:rPr>
            </w:pPr>
          </w:p>
        </w:tc>
        <w:tc>
          <w:tcPr>
            <w:tcW w:w="2360" w:type="dxa"/>
            <w:vAlign w:val="bottom"/>
            <w:tcBorders>
              <w:bottom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1320" w:type="dxa"/>
            <w:vAlign w:val="bottom"/>
            <w:tcBorders>
              <w:bottom w:val="single" w:sz="8" w:color="231F20"/>
              <w:right w:val="single" w:sz="8" w:color="231F20"/>
            </w:tcBorders>
          </w:tcPr>
          <w:p>
            <w:pPr>
              <w:spacing w:after="0"/>
              <w:rPr>
                <w:sz w:val="9"/>
                <w:szCs w:val="9"/>
                <w:color w:val="auto"/>
              </w:rPr>
            </w:pPr>
          </w:p>
        </w:tc>
        <w:tc>
          <w:tcPr>
            <w:tcW w:w="200" w:type="dxa"/>
            <w:vAlign w:val="bottom"/>
            <w:tcBorders>
              <w:bottom w:val="single" w:sz="8" w:color="231F20"/>
            </w:tcBorders>
          </w:tcPr>
          <w:p>
            <w:pPr>
              <w:spacing w:after="0"/>
              <w:rPr>
                <w:sz w:val="9"/>
                <w:szCs w:val="9"/>
                <w:color w:val="auto"/>
              </w:rPr>
            </w:pPr>
          </w:p>
        </w:tc>
        <w:tc>
          <w:tcPr>
            <w:tcW w:w="1180" w:type="dxa"/>
            <w:vAlign w:val="bottom"/>
            <w:tcBorders>
              <w:bottom w:val="single" w:sz="8" w:color="231F20"/>
              <w:right w:val="single" w:sz="8" w:color="231F20"/>
            </w:tcBorders>
          </w:tcPr>
          <w:p>
            <w:pPr>
              <w:spacing w:after="0"/>
              <w:rPr>
                <w:sz w:val="9"/>
                <w:szCs w:val="9"/>
                <w:color w:val="auto"/>
              </w:rPr>
            </w:pPr>
          </w:p>
        </w:tc>
        <w:tc>
          <w:tcPr>
            <w:tcW w:w="1320" w:type="dxa"/>
            <w:vAlign w:val="bottom"/>
            <w:tcBorders>
              <w:bottom w:val="single" w:sz="8" w:color="231F20"/>
              <w:right w:val="single" w:sz="8" w:color="231F20"/>
            </w:tcBorders>
            <w:vMerge w:val="continue"/>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2(a)(ii)</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re-elect Mr. Tao Xu as an</w:t>
            </w: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2,452,877,112</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112,949,469</w:t>
            </w:r>
          </w:p>
        </w:tc>
        <w:tc>
          <w:tcPr>
            <w:tcW w:w="200" w:type="dxa"/>
            <w:vAlign w:val="bottom"/>
          </w:tcPr>
          <w:p>
            <w:pPr>
              <w:spacing w:after="0"/>
              <w:rPr>
                <w:sz w:val="23"/>
                <w:szCs w:val="23"/>
                <w:color w:val="auto"/>
              </w:rPr>
            </w:pPr>
          </w:p>
        </w:tc>
        <w:tc>
          <w:tcPr>
            <w:tcW w:w="118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8"/>
              </w:rPr>
              <w:t>12,329,963</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2,565,826,581</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2,565,826,581</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executive Director.</w:t>
            </w: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(95.597931%)</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(4.402069%)</w:t>
            </w:r>
          </w:p>
        </w:tc>
        <w:tc>
          <w:tcPr>
            <w:tcW w:w="200" w:type="dxa"/>
            <w:vAlign w:val="bottom"/>
          </w:tcPr>
          <w:p>
            <w:pPr>
              <w:spacing w:after="0"/>
              <w:rPr>
                <w:sz w:val="20"/>
                <w:szCs w:val="20"/>
                <w:color w:val="auto"/>
              </w:rPr>
            </w:pPr>
          </w:p>
        </w:tc>
        <w:tc>
          <w:tcPr>
            <w:tcW w:w="118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18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2360" w:type="dxa"/>
            <w:vAlign w:val="bottom"/>
            <w:tcBorders>
              <w:right w:val="single" w:sz="8" w:color="231F20"/>
            </w:tcBorders>
          </w:tcPr>
          <w:p>
            <w:pPr>
              <w:spacing w:after="0"/>
              <w:rPr>
                <w:sz w:val="23"/>
                <w:szCs w:val="23"/>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1,371,810,780</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3"/>
                <w:szCs w:val="23"/>
                <w:color w:val="auto"/>
              </w:rPr>
            </w:pPr>
          </w:p>
        </w:tc>
        <w:tc>
          <w:tcPr>
            <w:tcW w:w="118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8"/>
                <w:szCs w:val="18"/>
                <w:color w:val="231F20"/>
                <w:w w:val="88"/>
              </w:rPr>
              <w:t>0</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200" w:type="dxa"/>
            <w:vAlign w:val="bottom"/>
          </w:tcPr>
          <w:p>
            <w:pPr>
              <w:spacing w:after="0"/>
              <w:rPr>
                <w:sz w:val="20"/>
                <w:szCs w:val="20"/>
                <w:color w:val="auto"/>
              </w:rPr>
            </w:pPr>
          </w:p>
        </w:tc>
        <w:tc>
          <w:tcPr>
            <w:tcW w:w="118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18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2360" w:type="dxa"/>
            <w:vAlign w:val="bottom"/>
            <w:tcBorders>
              <w:right w:val="single" w:sz="8" w:color="231F20"/>
            </w:tcBorders>
          </w:tcPr>
          <w:p>
            <w:pPr>
              <w:spacing w:after="0"/>
              <w:rPr>
                <w:sz w:val="23"/>
                <w:szCs w:val="23"/>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3,824,687,892</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112,949,469</w:t>
            </w:r>
          </w:p>
        </w:tc>
        <w:tc>
          <w:tcPr>
            <w:tcW w:w="200" w:type="dxa"/>
            <w:vAlign w:val="bottom"/>
          </w:tcPr>
          <w:p>
            <w:pPr>
              <w:spacing w:after="0"/>
              <w:rPr>
                <w:sz w:val="23"/>
                <w:szCs w:val="23"/>
                <w:color w:val="auto"/>
              </w:rPr>
            </w:pPr>
          </w:p>
        </w:tc>
        <w:tc>
          <w:tcPr>
            <w:tcW w:w="118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8"/>
              </w:rPr>
              <w:t>12,329,963</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2,703,007,659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3,937,637,361</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(97.131542%)</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(2.868458%)</w:t>
            </w:r>
          </w:p>
        </w:tc>
        <w:tc>
          <w:tcPr>
            <w:tcW w:w="200" w:type="dxa"/>
            <w:vAlign w:val="bottom"/>
          </w:tcPr>
          <w:p>
            <w:pPr>
              <w:spacing w:after="0"/>
              <w:rPr>
                <w:sz w:val="18"/>
                <w:szCs w:val="18"/>
                <w:color w:val="auto"/>
              </w:rPr>
            </w:pPr>
          </w:p>
        </w:tc>
        <w:tc>
          <w:tcPr>
            <w:tcW w:w="118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8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2(a)(iii)</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re-elect Mr. Hansong Zhu</w:t>
            </w: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2,302,534,059</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259,445,007</w:t>
            </w:r>
          </w:p>
        </w:tc>
        <w:tc>
          <w:tcPr>
            <w:tcW w:w="200" w:type="dxa"/>
            <w:vAlign w:val="bottom"/>
          </w:tcPr>
          <w:p>
            <w:pPr>
              <w:spacing w:after="0"/>
              <w:rPr>
                <w:sz w:val="23"/>
                <w:szCs w:val="23"/>
                <w:color w:val="auto"/>
              </w:rPr>
            </w:pPr>
          </w:p>
        </w:tc>
        <w:tc>
          <w:tcPr>
            <w:tcW w:w="118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8"/>
              </w:rPr>
              <w:t>16,177,481</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2,561,979,066</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2,561,979,066</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as an independent non-</w:t>
            </w: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(89.873258%)</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(10.126742%)</w:t>
            </w:r>
          </w:p>
        </w:tc>
        <w:tc>
          <w:tcPr>
            <w:tcW w:w="200" w:type="dxa"/>
            <w:vAlign w:val="bottom"/>
          </w:tcPr>
          <w:p>
            <w:pPr>
              <w:spacing w:after="0"/>
              <w:rPr>
                <w:sz w:val="18"/>
                <w:szCs w:val="18"/>
                <w:color w:val="auto"/>
              </w:rPr>
            </w:pPr>
          </w:p>
        </w:tc>
        <w:tc>
          <w:tcPr>
            <w:tcW w:w="118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executive Director.</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200" w:type="dxa"/>
            <w:vAlign w:val="bottom"/>
            <w:tcBorders>
              <w:bottom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vMerge w:val="continue"/>
          </w:tcPr>
          <w:p>
            <w:pPr>
              <w:spacing w:after="0"/>
              <w:rPr>
                <w:sz w:val="10"/>
                <w:szCs w:val="10"/>
                <w:color w:val="auto"/>
              </w:rPr>
            </w:pPr>
          </w:p>
        </w:tc>
        <w:tc>
          <w:tcPr>
            <w:tcW w:w="124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137,181,078</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0"/>
                <w:szCs w:val="10"/>
                <w:color w:val="auto"/>
              </w:rPr>
            </w:pPr>
          </w:p>
        </w:tc>
        <w:tc>
          <w:tcPr>
            <w:tcW w:w="1180" w:type="dxa"/>
            <w:vAlign w:val="bottom"/>
            <w:tcBorders>
              <w:right w:val="single" w:sz="8" w:color="231F20"/>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231F20"/>
                <w:w w:val="88"/>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0" w:type="dxa"/>
            <w:vAlign w:val="bottom"/>
          </w:tcPr>
          <w:p>
            <w:pPr>
              <w:spacing w:after="0"/>
              <w:rPr>
                <w:sz w:val="1"/>
                <w:szCs w:val="1"/>
                <w:color w:val="auto"/>
              </w:rPr>
            </w:pPr>
          </w:p>
        </w:tc>
      </w:tr>
      <w:tr>
        <w:trPr>
          <w:trHeight w:val="157"/>
        </w:trPr>
        <w:tc>
          <w:tcPr>
            <w:tcW w:w="940" w:type="dxa"/>
            <w:vAlign w:val="bottom"/>
            <w:tcBorders>
              <w:left w:val="single" w:sz="8" w:color="231F20"/>
              <w:right w:val="single" w:sz="8" w:color="231F20"/>
            </w:tcBorders>
          </w:tcPr>
          <w:p>
            <w:pPr>
              <w:spacing w:after="0"/>
              <w:rPr>
                <w:sz w:val="13"/>
                <w:szCs w:val="13"/>
                <w:color w:val="auto"/>
              </w:rPr>
            </w:pPr>
          </w:p>
        </w:tc>
        <w:tc>
          <w:tcPr>
            <w:tcW w:w="2360" w:type="dxa"/>
            <w:vAlign w:val="bottom"/>
            <w:tcBorders>
              <w:right w:val="single" w:sz="8" w:color="231F20"/>
            </w:tcBorders>
          </w:tcPr>
          <w:p>
            <w:pPr>
              <w:spacing w:after="0"/>
              <w:rPr>
                <w:sz w:val="13"/>
                <w:szCs w:val="13"/>
                <w:color w:val="auto"/>
              </w:rPr>
            </w:pPr>
          </w:p>
        </w:tc>
        <w:tc>
          <w:tcPr>
            <w:tcW w:w="1240" w:type="dxa"/>
            <w:vAlign w:val="bottom"/>
            <w:tcBorders>
              <w:right w:val="single" w:sz="8" w:color="231F20"/>
            </w:tcBorders>
            <w:vMerge w:val="continue"/>
          </w:tcPr>
          <w:p>
            <w:pPr>
              <w:spacing w:after="0"/>
              <w:rPr>
                <w:sz w:val="13"/>
                <w:szCs w:val="13"/>
                <w:color w:val="auto"/>
              </w:rPr>
            </w:pPr>
          </w:p>
        </w:tc>
        <w:tc>
          <w:tcPr>
            <w:tcW w:w="1340" w:type="dxa"/>
            <w:vAlign w:val="bottom"/>
            <w:tcBorders>
              <w:right w:val="single" w:sz="8" w:color="231F20"/>
            </w:tcBorders>
            <w:vMerge w:val="continue"/>
          </w:tcPr>
          <w:p>
            <w:pPr>
              <w:spacing w:after="0"/>
              <w:rPr>
                <w:sz w:val="13"/>
                <w:szCs w:val="13"/>
                <w:color w:val="auto"/>
              </w:rPr>
            </w:pPr>
          </w:p>
        </w:tc>
        <w:tc>
          <w:tcPr>
            <w:tcW w:w="1320" w:type="dxa"/>
            <w:vAlign w:val="bottom"/>
            <w:tcBorders>
              <w:right w:val="single" w:sz="8" w:color="231F20"/>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Borders>
              <w:right w:val="single" w:sz="8" w:color="231F20"/>
            </w:tcBorders>
            <w:vMerge w:val="continue"/>
          </w:tcPr>
          <w:p>
            <w:pPr>
              <w:spacing w:after="0"/>
              <w:rPr>
                <w:sz w:val="13"/>
                <w:szCs w:val="13"/>
                <w:color w:val="auto"/>
              </w:rPr>
            </w:pPr>
          </w:p>
        </w:tc>
        <w:tc>
          <w:tcPr>
            <w:tcW w:w="1320" w:type="dxa"/>
            <w:vAlign w:val="bottom"/>
            <w:tcBorders>
              <w:right w:val="single" w:sz="8" w:color="231F20"/>
            </w:tcBorders>
            <w:vMerge w:val="continue"/>
          </w:tcPr>
          <w:p>
            <w:pPr>
              <w:spacing w:after="0"/>
              <w:rPr>
                <w:sz w:val="13"/>
                <w:szCs w:val="13"/>
                <w:color w:val="auto"/>
              </w:rPr>
            </w:pPr>
          </w:p>
        </w:tc>
        <w:tc>
          <w:tcPr>
            <w:tcW w:w="1340" w:type="dxa"/>
            <w:vAlign w:val="bottom"/>
            <w:tcBorders>
              <w:right w:val="single" w:sz="8" w:color="231F2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200" w:type="dxa"/>
            <w:vAlign w:val="bottom"/>
          </w:tcPr>
          <w:p>
            <w:pPr>
              <w:spacing w:after="0"/>
              <w:rPr>
                <w:sz w:val="20"/>
                <w:szCs w:val="20"/>
                <w:color w:val="auto"/>
              </w:rPr>
            </w:pPr>
          </w:p>
        </w:tc>
        <w:tc>
          <w:tcPr>
            <w:tcW w:w="118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18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2360" w:type="dxa"/>
            <w:vAlign w:val="bottom"/>
            <w:tcBorders>
              <w:right w:val="single" w:sz="8" w:color="231F20"/>
            </w:tcBorders>
          </w:tcPr>
          <w:p>
            <w:pPr>
              <w:spacing w:after="0"/>
              <w:rPr>
                <w:sz w:val="23"/>
                <w:szCs w:val="23"/>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2,439,715,137</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259,445,007</w:t>
            </w:r>
          </w:p>
        </w:tc>
        <w:tc>
          <w:tcPr>
            <w:tcW w:w="200" w:type="dxa"/>
            <w:vAlign w:val="bottom"/>
          </w:tcPr>
          <w:p>
            <w:pPr>
              <w:spacing w:after="0"/>
              <w:rPr>
                <w:sz w:val="23"/>
                <w:szCs w:val="23"/>
                <w:color w:val="auto"/>
              </w:rPr>
            </w:pPr>
          </w:p>
        </w:tc>
        <w:tc>
          <w:tcPr>
            <w:tcW w:w="118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8"/>
              </w:rPr>
              <w:t>16,177,481</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2,699,160,144</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2,699,160,144</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(90.387936%)</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(9.612064%)</w:t>
            </w:r>
          </w:p>
        </w:tc>
        <w:tc>
          <w:tcPr>
            <w:tcW w:w="200" w:type="dxa"/>
            <w:vAlign w:val="bottom"/>
          </w:tcPr>
          <w:p>
            <w:pPr>
              <w:spacing w:after="0"/>
              <w:rPr>
                <w:sz w:val="18"/>
                <w:szCs w:val="18"/>
                <w:color w:val="auto"/>
              </w:rPr>
            </w:pPr>
          </w:p>
        </w:tc>
        <w:tc>
          <w:tcPr>
            <w:tcW w:w="118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8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641"/>
        </w:trPr>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940" w:type="dxa"/>
            <w:vAlign w:val="bottom"/>
            <w:tcBorders>
              <w:top w:val="single" w:sz="8" w:color="231F20"/>
              <w:left w:val="single" w:sz="8" w:color="231F20"/>
            </w:tcBorders>
          </w:tcPr>
          <w:p>
            <w:pPr>
              <w:spacing w:after="0"/>
              <w:rPr>
                <w:sz w:val="24"/>
                <w:szCs w:val="24"/>
                <w:color w:val="auto"/>
              </w:rPr>
            </w:pPr>
          </w:p>
        </w:tc>
        <w:tc>
          <w:tcPr>
            <w:tcW w:w="2360" w:type="dxa"/>
            <w:vAlign w:val="bottom"/>
            <w:tcBorders>
              <w:top w:val="single" w:sz="8" w:color="231F20"/>
            </w:tcBorders>
          </w:tcPr>
          <w:p>
            <w:pPr>
              <w:spacing w:after="0"/>
              <w:rPr>
                <w:sz w:val="24"/>
                <w:szCs w:val="24"/>
                <w:color w:val="auto"/>
              </w:rPr>
            </w:pPr>
          </w:p>
        </w:tc>
        <w:tc>
          <w:tcPr>
            <w:tcW w:w="1240" w:type="dxa"/>
            <w:vAlign w:val="bottom"/>
            <w:tcBorders>
              <w:top w:val="single" w:sz="8" w:color="231F20"/>
              <w:right w:val="single" w:sz="8" w:color="231F20"/>
            </w:tcBorders>
          </w:tcPr>
          <w:p>
            <w:pPr>
              <w:spacing w:after="0"/>
              <w:rPr>
                <w:sz w:val="24"/>
                <w:szCs w:val="24"/>
                <w:color w:val="auto"/>
              </w:rPr>
            </w:pPr>
          </w:p>
        </w:tc>
        <w:tc>
          <w:tcPr>
            <w:tcW w:w="404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 VOTES CAST AND</w:t>
            </w:r>
          </w:p>
        </w:tc>
        <w:tc>
          <w:tcPr>
            <w:tcW w:w="13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340" w:type="dxa"/>
            <w:vAlign w:val="bottom"/>
            <w:tcBorders>
              <w:top w:val="single" w:sz="8" w:color="231F20"/>
              <w:right w:val="single" w:sz="8" w:color="231F20"/>
            </w:tcBorders>
          </w:tcPr>
          <w:p>
            <w:pPr>
              <w:ind w:left="34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tcBorders>
          </w:tcPr>
          <w:p>
            <w:pPr>
              <w:spacing w:after="0"/>
              <w:rPr>
                <w:sz w:val="18"/>
                <w:szCs w:val="18"/>
                <w:color w:val="auto"/>
              </w:rPr>
            </w:pPr>
          </w:p>
        </w:tc>
        <w:tc>
          <w:tcPr>
            <w:tcW w:w="3600" w:type="dxa"/>
            <w:vAlign w:val="bottom"/>
            <w:tcBorders>
              <w:right w:val="single" w:sz="8" w:color="231F20"/>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231F20"/>
                <w:w w:val="99"/>
              </w:rPr>
              <w:t>PERCENTAGE (%)</w:t>
            </w: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13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36"/>
        </w:trPr>
        <w:tc>
          <w:tcPr>
            <w:tcW w:w="940" w:type="dxa"/>
            <w:vAlign w:val="bottom"/>
            <w:tcBorders>
              <w:left w:val="single" w:sz="8" w:color="231F20"/>
            </w:tcBorders>
          </w:tcPr>
          <w:p>
            <w:pPr>
              <w:spacing w:after="0"/>
              <w:rPr>
                <w:sz w:val="3"/>
                <w:szCs w:val="3"/>
                <w:color w:val="auto"/>
              </w:rPr>
            </w:pPr>
          </w:p>
        </w:tc>
        <w:tc>
          <w:tcPr>
            <w:tcW w:w="3600" w:type="dxa"/>
            <w:vAlign w:val="bottom"/>
            <w:tcBorders>
              <w:right w:val="single" w:sz="8" w:color="231F20"/>
            </w:tcBorders>
            <w:gridSpan w:val="2"/>
            <w:vMerge w:val="continue"/>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136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1160" w:type="dxa"/>
            <w:vAlign w:val="bottom"/>
            <w:tcBorders>
              <w:bottom w:val="single" w:sz="8" w:color="231F20"/>
              <w:right w:val="single" w:sz="8" w:color="231F20"/>
            </w:tcBorders>
          </w:tcPr>
          <w:p>
            <w:pPr>
              <w:spacing w:after="0"/>
              <w:rPr>
                <w:sz w:val="3"/>
                <w:szCs w:val="3"/>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OF VOTING</w:t>
            </w:r>
          </w:p>
        </w:tc>
        <w:tc>
          <w:tcPr>
            <w:tcW w:w="13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231F20"/>
              </w:rPr>
              <w:t>VOTES CAST</w:t>
            </w:r>
          </w:p>
        </w:tc>
        <w:tc>
          <w:tcPr>
            <w:tcW w:w="0" w:type="dxa"/>
            <w:vAlign w:val="bottom"/>
          </w:tcPr>
          <w:p>
            <w:pPr>
              <w:spacing w:after="0"/>
              <w:rPr>
                <w:sz w:val="1"/>
                <w:szCs w:val="1"/>
                <w:color w:val="auto"/>
              </w:rPr>
            </w:pPr>
          </w:p>
        </w:tc>
      </w:tr>
      <w:tr>
        <w:trPr>
          <w:trHeight w:val="75"/>
        </w:trPr>
        <w:tc>
          <w:tcPr>
            <w:tcW w:w="940" w:type="dxa"/>
            <w:vAlign w:val="bottom"/>
            <w:tcBorders>
              <w:left w:val="single" w:sz="8" w:color="231F20"/>
            </w:tcBorders>
          </w:tcPr>
          <w:p>
            <w:pPr>
              <w:spacing w:after="0"/>
              <w:rPr>
                <w:sz w:val="6"/>
                <w:szCs w:val="6"/>
                <w:color w:val="auto"/>
              </w:rPr>
            </w:pPr>
          </w:p>
        </w:tc>
        <w:tc>
          <w:tcPr>
            <w:tcW w:w="3600" w:type="dxa"/>
            <w:vAlign w:val="bottom"/>
            <w:tcBorders>
              <w:right w:val="single" w:sz="8" w:color="231F20"/>
            </w:tcBorders>
            <w:gridSpan w:val="2"/>
            <w:vMerge w:val="continue"/>
          </w:tcPr>
          <w:p>
            <w:pPr>
              <w:spacing w:after="0"/>
              <w:rPr>
                <w:sz w:val="6"/>
                <w:szCs w:val="6"/>
                <w:color w:val="auto"/>
              </w:rPr>
            </w:pPr>
          </w:p>
        </w:tc>
        <w:tc>
          <w:tcPr>
            <w:tcW w:w="134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180" w:type="dxa"/>
            <w:vAlign w:val="bottom"/>
          </w:tcPr>
          <w:p>
            <w:pPr>
              <w:spacing w:after="0"/>
              <w:rPr>
                <w:sz w:val="6"/>
                <w:szCs w:val="6"/>
                <w:color w:val="auto"/>
              </w:rPr>
            </w:pPr>
          </w:p>
        </w:tc>
        <w:tc>
          <w:tcPr>
            <w:tcW w:w="1160" w:type="dxa"/>
            <w:vAlign w:val="bottom"/>
            <w:tcBorders>
              <w:right w:val="single" w:sz="8" w:color="231F20"/>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7"/>
              </w:rPr>
              <w:t>ABSTAIN</w:t>
            </w:r>
          </w:p>
        </w:tc>
        <w:tc>
          <w:tcPr>
            <w:tcW w:w="132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40" w:type="dxa"/>
            <w:vAlign w:val="bottom"/>
            <w:tcBorders>
              <w:left w:val="single" w:sz="8" w:color="231F20"/>
            </w:tcBorders>
          </w:tcPr>
          <w:p>
            <w:pPr>
              <w:spacing w:after="0"/>
              <w:rPr>
                <w:sz w:val="7"/>
                <w:szCs w:val="7"/>
                <w:color w:val="auto"/>
              </w:rPr>
            </w:pPr>
          </w:p>
        </w:tc>
        <w:tc>
          <w:tcPr>
            <w:tcW w:w="236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tcBorders>
              <w:left w:val="single" w:sz="8" w:color="231F20"/>
            </w:tcBorders>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231F20"/>
              <w:bottom w:val="single" w:sz="8" w:color="231F20"/>
            </w:tcBorders>
          </w:tcPr>
          <w:p>
            <w:pPr>
              <w:spacing w:after="0"/>
              <w:rPr>
                <w:sz w:val="9"/>
                <w:szCs w:val="9"/>
                <w:color w:val="auto"/>
              </w:rPr>
            </w:pPr>
          </w:p>
        </w:tc>
        <w:tc>
          <w:tcPr>
            <w:tcW w:w="2360" w:type="dxa"/>
            <w:vAlign w:val="bottom"/>
            <w:tcBorders>
              <w:bottom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1360" w:type="dxa"/>
            <w:vAlign w:val="bottom"/>
            <w:tcBorders>
              <w:bottom w:val="single" w:sz="8" w:color="231F20"/>
              <w:right w:val="single" w:sz="8" w:color="231F20"/>
            </w:tcBorders>
          </w:tcPr>
          <w:p>
            <w:pPr>
              <w:spacing w:after="0"/>
              <w:rPr>
                <w:sz w:val="9"/>
                <w:szCs w:val="9"/>
                <w:color w:val="auto"/>
              </w:rPr>
            </w:pPr>
          </w:p>
        </w:tc>
        <w:tc>
          <w:tcPr>
            <w:tcW w:w="180" w:type="dxa"/>
            <w:vAlign w:val="bottom"/>
            <w:tcBorders>
              <w:bottom w:val="single" w:sz="8" w:color="231F20"/>
            </w:tcBorders>
          </w:tcPr>
          <w:p>
            <w:pPr>
              <w:spacing w:after="0"/>
              <w:rPr>
                <w:sz w:val="9"/>
                <w:szCs w:val="9"/>
                <w:color w:val="auto"/>
              </w:rPr>
            </w:pPr>
          </w:p>
        </w:tc>
        <w:tc>
          <w:tcPr>
            <w:tcW w:w="1160" w:type="dxa"/>
            <w:vAlign w:val="bottom"/>
            <w:tcBorders>
              <w:bottom w:val="single" w:sz="8" w:color="231F20"/>
              <w:right w:val="single" w:sz="8" w:color="231F20"/>
            </w:tcBorders>
          </w:tcPr>
          <w:p>
            <w:pPr>
              <w:spacing w:after="0"/>
              <w:rPr>
                <w:sz w:val="9"/>
                <w:szCs w:val="9"/>
                <w:color w:val="auto"/>
              </w:rPr>
            </w:pPr>
          </w:p>
        </w:tc>
        <w:tc>
          <w:tcPr>
            <w:tcW w:w="1320" w:type="dxa"/>
            <w:vAlign w:val="bottom"/>
            <w:tcBorders>
              <w:bottom w:val="single" w:sz="8" w:color="231F20"/>
              <w:right w:val="single" w:sz="8" w:color="231F20"/>
            </w:tcBorders>
            <w:vMerge w:val="continue"/>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2(b)</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authorize the Board to fix</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2,577,122,988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12,606,839</w:t>
            </w:r>
          </w:p>
        </w:tc>
        <w:tc>
          <w:tcPr>
            <w:tcW w:w="180" w:type="dxa"/>
            <w:vAlign w:val="bottom"/>
          </w:tcPr>
          <w:p>
            <w:pPr>
              <w:spacing w:after="0"/>
              <w:rPr>
                <w:sz w:val="23"/>
                <w:szCs w:val="23"/>
                <w:color w:val="auto"/>
              </w:rPr>
            </w:pPr>
          </w:p>
        </w:tc>
        <w:tc>
          <w:tcPr>
            <w:tcW w:w="116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9"/>
              </w:rPr>
              <w:t>464,126</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2,589,729,827</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2,589,729,827</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the remuneration of the</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(99.513199%)</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(0.486801%)</w:t>
            </w:r>
          </w:p>
        </w:tc>
        <w:tc>
          <w:tcPr>
            <w:tcW w:w="180" w:type="dxa"/>
            <w:vAlign w:val="bottom"/>
          </w:tcPr>
          <w:p>
            <w:pPr>
              <w:spacing w:after="0"/>
              <w:rPr>
                <w:sz w:val="18"/>
                <w:szCs w:val="18"/>
                <w:color w:val="auto"/>
              </w:rPr>
            </w:pPr>
          </w:p>
        </w:tc>
        <w:tc>
          <w:tcPr>
            <w:tcW w:w="116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Directors.</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80" w:type="dxa"/>
            <w:vAlign w:val="bottom"/>
            <w:tcBorders>
              <w:bottom w:val="single" w:sz="8" w:color="231F20"/>
            </w:tcBorders>
          </w:tcPr>
          <w:p>
            <w:pPr>
              <w:spacing w:after="0"/>
              <w:rPr>
                <w:sz w:val="8"/>
                <w:szCs w:val="8"/>
                <w:color w:val="auto"/>
              </w:rPr>
            </w:pPr>
          </w:p>
        </w:tc>
        <w:tc>
          <w:tcPr>
            <w:tcW w:w="116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vMerge w:val="continue"/>
          </w:tcPr>
          <w:p>
            <w:pPr>
              <w:spacing w:after="0"/>
              <w:rPr>
                <w:sz w:val="10"/>
                <w:szCs w:val="10"/>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1,371,810,780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0"/>
                <w:szCs w:val="10"/>
                <w:color w:val="auto"/>
              </w:rPr>
            </w:pPr>
          </w:p>
        </w:tc>
        <w:tc>
          <w:tcPr>
            <w:tcW w:w="1160" w:type="dxa"/>
            <w:vAlign w:val="bottom"/>
            <w:tcBorders>
              <w:right w:val="single" w:sz="8" w:color="231F20"/>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157"/>
        </w:trPr>
        <w:tc>
          <w:tcPr>
            <w:tcW w:w="940" w:type="dxa"/>
            <w:vAlign w:val="bottom"/>
            <w:tcBorders>
              <w:left w:val="single" w:sz="8" w:color="231F20"/>
              <w:right w:val="single" w:sz="8" w:color="231F20"/>
            </w:tcBorders>
          </w:tcPr>
          <w:p>
            <w:pPr>
              <w:spacing w:after="0"/>
              <w:rPr>
                <w:sz w:val="13"/>
                <w:szCs w:val="13"/>
                <w:color w:val="auto"/>
              </w:rPr>
            </w:pPr>
          </w:p>
        </w:tc>
        <w:tc>
          <w:tcPr>
            <w:tcW w:w="2360" w:type="dxa"/>
            <w:vAlign w:val="bottom"/>
            <w:tcBorders>
              <w:right w:val="single" w:sz="8" w:color="231F20"/>
            </w:tcBorders>
          </w:tcPr>
          <w:p>
            <w:pPr>
              <w:spacing w:after="0"/>
              <w:rPr>
                <w:sz w:val="13"/>
                <w:szCs w:val="13"/>
                <w:color w:val="auto"/>
              </w:rPr>
            </w:pPr>
          </w:p>
        </w:tc>
        <w:tc>
          <w:tcPr>
            <w:tcW w:w="1240" w:type="dxa"/>
            <w:vAlign w:val="bottom"/>
            <w:tcBorders>
              <w:right w:val="single" w:sz="8" w:color="231F20"/>
            </w:tcBorders>
            <w:vMerge w:val="continue"/>
          </w:tcPr>
          <w:p>
            <w:pPr>
              <w:spacing w:after="0"/>
              <w:rPr>
                <w:sz w:val="13"/>
                <w:szCs w:val="13"/>
                <w:color w:val="auto"/>
              </w:rPr>
            </w:pPr>
          </w:p>
        </w:tc>
        <w:tc>
          <w:tcPr>
            <w:tcW w:w="1340" w:type="dxa"/>
            <w:vAlign w:val="bottom"/>
            <w:tcBorders>
              <w:right w:val="single" w:sz="8" w:color="231F20"/>
            </w:tcBorders>
            <w:vMerge w:val="continue"/>
          </w:tcPr>
          <w:p>
            <w:pPr>
              <w:spacing w:after="0"/>
              <w:rPr>
                <w:sz w:val="13"/>
                <w:szCs w:val="13"/>
                <w:color w:val="auto"/>
              </w:rPr>
            </w:pPr>
          </w:p>
        </w:tc>
        <w:tc>
          <w:tcPr>
            <w:tcW w:w="1360" w:type="dxa"/>
            <w:vAlign w:val="bottom"/>
            <w:tcBorders>
              <w:right w:val="single" w:sz="8" w:color="231F20"/>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Borders>
              <w:right w:val="single" w:sz="8" w:color="231F20"/>
            </w:tcBorders>
            <w:vMerge w:val="continue"/>
          </w:tcPr>
          <w:p>
            <w:pPr>
              <w:spacing w:after="0"/>
              <w:rPr>
                <w:sz w:val="13"/>
                <w:szCs w:val="13"/>
                <w:color w:val="auto"/>
              </w:rPr>
            </w:pPr>
          </w:p>
        </w:tc>
        <w:tc>
          <w:tcPr>
            <w:tcW w:w="1320" w:type="dxa"/>
            <w:vAlign w:val="bottom"/>
            <w:tcBorders>
              <w:right w:val="single" w:sz="8" w:color="231F20"/>
            </w:tcBorders>
            <w:vMerge w:val="continue"/>
          </w:tcPr>
          <w:p>
            <w:pPr>
              <w:spacing w:after="0"/>
              <w:rPr>
                <w:sz w:val="13"/>
                <w:szCs w:val="13"/>
                <w:color w:val="auto"/>
              </w:rPr>
            </w:pPr>
          </w:p>
        </w:tc>
        <w:tc>
          <w:tcPr>
            <w:tcW w:w="1340" w:type="dxa"/>
            <w:vAlign w:val="bottom"/>
            <w:tcBorders>
              <w:right w:val="single" w:sz="8" w:color="231F2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80" w:type="dxa"/>
            <w:vAlign w:val="bottom"/>
          </w:tcPr>
          <w:p>
            <w:pPr>
              <w:spacing w:after="0"/>
              <w:rPr>
                <w:sz w:val="20"/>
                <w:szCs w:val="20"/>
                <w:color w:val="auto"/>
              </w:rPr>
            </w:pPr>
          </w:p>
        </w:tc>
        <w:tc>
          <w:tcPr>
            <w:tcW w:w="116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80" w:type="dxa"/>
            <w:vAlign w:val="bottom"/>
            <w:tcBorders>
              <w:bottom w:val="single" w:sz="8" w:color="231F20"/>
            </w:tcBorders>
          </w:tcPr>
          <w:p>
            <w:pPr>
              <w:spacing w:after="0"/>
              <w:rPr>
                <w:sz w:val="7"/>
                <w:szCs w:val="7"/>
                <w:color w:val="auto"/>
              </w:rPr>
            </w:pPr>
          </w:p>
        </w:tc>
        <w:tc>
          <w:tcPr>
            <w:tcW w:w="1160" w:type="dxa"/>
            <w:vAlign w:val="bottom"/>
            <w:tcBorders>
              <w:bottom w:val="single" w:sz="8" w:color="231F20"/>
              <w:right w:val="single" w:sz="8" w:color="231F20"/>
            </w:tcBorders>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2360" w:type="dxa"/>
            <w:vAlign w:val="bottom"/>
            <w:tcBorders>
              <w:right w:val="single" w:sz="8" w:color="231F20"/>
            </w:tcBorders>
          </w:tcPr>
          <w:p>
            <w:pPr>
              <w:spacing w:after="0"/>
              <w:rPr>
                <w:sz w:val="23"/>
                <w:szCs w:val="23"/>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3,948,933,768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12,606,839</w:t>
            </w:r>
          </w:p>
        </w:tc>
        <w:tc>
          <w:tcPr>
            <w:tcW w:w="180" w:type="dxa"/>
            <w:vAlign w:val="bottom"/>
          </w:tcPr>
          <w:p>
            <w:pPr>
              <w:spacing w:after="0"/>
              <w:rPr>
                <w:sz w:val="23"/>
                <w:szCs w:val="23"/>
                <w:color w:val="auto"/>
              </w:rPr>
            </w:pPr>
          </w:p>
        </w:tc>
        <w:tc>
          <w:tcPr>
            <w:tcW w:w="116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9"/>
              </w:rPr>
              <w:t>464,126</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2,726,910,905</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3,961,540,607</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(99.681769%)</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(0.318231%)</w:t>
            </w:r>
          </w:p>
        </w:tc>
        <w:tc>
          <w:tcPr>
            <w:tcW w:w="180" w:type="dxa"/>
            <w:vAlign w:val="bottom"/>
          </w:tcPr>
          <w:p>
            <w:pPr>
              <w:spacing w:after="0"/>
              <w:rPr>
                <w:sz w:val="18"/>
                <w:szCs w:val="18"/>
                <w:color w:val="auto"/>
              </w:rPr>
            </w:pPr>
          </w:p>
        </w:tc>
        <w:tc>
          <w:tcPr>
            <w:tcW w:w="116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4040" w:type="dxa"/>
            <w:vAlign w:val="bottom"/>
            <w:tcBorders>
              <w:bottom w:val="single" w:sz="8" w:color="231F20"/>
            </w:tcBorders>
            <w:gridSpan w:val="4"/>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940" w:type="dxa"/>
            <w:vAlign w:val="bottom"/>
            <w:tcBorders>
              <w:left w:val="single" w:sz="8" w:color="231F20"/>
            </w:tcBorders>
          </w:tcPr>
          <w:p>
            <w:pPr>
              <w:spacing w:after="0"/>
              <w:rPr>
                <w:sz w:val="23"/>
                <w:szCs w:val="23"/>
                <w:color w:val="auto"/>
              </w:rPr>
            </w:pPr>
          </w:p>
        </w:tc>
        <w:tc>
          <w:tcPr>
            <w:tcW w:w="2360" w:type="dxa"/>
            <w:vAlign w:val="bottom"/>
          </w:tcPr>
          <w:p>
            <w:pPr>
              <w:spacing w:after="0"/>
              <w:rPr>
                <w:sz w:val="23"/>
                <w:szCs w:val="23"/>
                <w:color w:val="auto"/>
              </w:rPr>
            </w:pPr>
          </w:p>
        </w:tc>
        <w:tc>
          <w:tcPr>
            <w:tcW w:w="1240" w:type="dxa"/>
            <w:vAlign w:val="bottom"/>
            <w:tcBorders>
              <w:right w:val="single" w:sz="8" w:color="231F20"/>
            </w:tcBorders>
          </w:tcPr>
          <w:p>
            <w:pPr>
              <w:spacing w:after="0"/>
              <w:rPr>
                <w:sz w:val="23"/>
                <w:szCs w:val="23"/>
                <w:color w:val="auto"/>
              </w:rPr>
            </w:pPr>
          </w:p>
        </w:tc>
        <w:tc>
          <w:tcPr>
            <w:tcW w:w="4040" w:type="dxa"/>
            <w:vAlign w:val="bottom"/>
            <w:tcBorders>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 OF VOTES CAST AND</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34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tcBorders>
          </w:tcPr>
          <w:p>
            <w:pPr>
              <w:spacing w:after="0"/>
              <w:rPr>
                <w:sz w:val="18"/>
                <w:szCs w:val="18"/>
                <w:color w:val="auto"/>
              </w:rPr>
            </w:pPr>
          </w:p>
        </w:tc>
        <w:tc>
          <w:tcPr>
            <w:tcW w:w="23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SPECIAL RESOLUTION</w:t>
            </w:r>
          </w:p>
        </w:tc>
        <w:tc>
          <w:tcPr>
            <w:tcW w:w="1240" w:type="dxa"/>
            <w:vAlign w:val="bottom"/>
            <w:tcBorders>
              <w:right w:val="single" w:sz="8" w:color="231F20"/>
            </w:tcBorders>
          </w:tcPr>
          <w:p>
            <w:pPr>
              <w:spacing w:after="0"/>
              <w:rPr>
                <w:sz w:val="18"/>
                <w:szCs w:val="18"/>
                <w:color w:val="auto"/>
              </w:rPr>
            </w:pPr>
          </w:p>
        </w:tc>
        <w:tc>
          <w:tcPr>
            <w:tcW w:w="288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231F20"/>
              </w:rPr>
              <w:t>PERCENTAGE (%)</w:t>
            </w: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134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36"/>
        </w:trPr>
        <w:tc>
          <w:tcPr>
            <w:tcW w:w="940" w:type="dxa"/>
            <w:vAlign w:val="bottom"/>
            <w:tcBorders>
              <w:left w:val="single" w:sz="8" w:color="231F20"/>
            </w:tcBorders>
          </w:tcPr>
          <w:p>
            <w:pPr>
              <w:spacing w:after="0"/>
              <w:rPr>
                <w:sz w:val="3"/>
                <w:szCs w:val="3"/>
                <w:color w:val="auto"/>
              </w:rPr>
            </w:pPr>
          </w:p>
        </w:tc>
        <w:tc>
          <w:tcPr>
            <w:tcW w:w="2360" w:type="dxa"/>
            <w:vAlign w:val="bottom"/>
            <w:vMerge w:val="continue"/>
          </w:tcPr>
          <w:p>
            <w:pPr>
              <w:spacing w:after="0"/>
              <w:rPr>
                <w:sz w:val="3"/>
                <w:szCs w:val="3"/>
                <w:color w:val="auto"/>
              </w:rPr>
            </w:pPr>
          </w:p>
        </w:tc>
        <w:tc>
          <w:tcPr>
            <w:tcW w:w="1240" w:type="dxa"/>
            <w:vAlign w:val="bottom"/>
            <w:tcBorders>
              <w:right w:val="single" w:sz="8" w:color="231F20"/>
            </w:tcBorders>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136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1160" w:type="dxa"/>
            <w:vAlign w:val="bottom"/>
            <w:tcBorders>
              <w:bottom w:val="single" w:sz="8" w:color="231F20"/>
              <w:right w:val="single" w:sz="8" w:color="231F20"/>
            </w:tcBorders>
          </w:tcPr>
          <w:p>
            <w:pPr>
              <w:spacing w:after="0"/>
              <w:rPr>
                <w:sz w:val="3"/>
                <w:szCs w:val="3"/>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OF VOTING</w:t>
            </w:r>
          </w:p>
        </w:tc>
        <w:tc>
          <w:tcPr>
            <w:tcW w:w="1340" w:type="dxa"/>
            <w:vAlign w:val="bottom"/>
            <w:tcBorders>
              <w:right w:val="single" w:sz="8" w:color="231F20"/>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231F20"/>
              </w:rPr>
              <w:t>VOTES CAST</w:t>
            </w:r>
          </w:p>
        </w:tc>
        <w:tc>
          <w:tcPr>
            <w:tcW w:w="0" w:type="dxa"/>
            <w:vAlign w:val="bottom"/>
          </w:tcPr>
          <w:p>
            <w:pPr>
              <w:spacing w:after="0"/>
              <w:rPr>
                <w:sz w:val="1"/>
                <w:szCs w:val="1"/>
                <w:color w:val="auto"/>
              </w:rPr>
            </w:pPr>
          </w:p>
        </w:tc>
      </w:tr>
      <w:tr>
        <w:trPr>
          <w:trHeight w:val="75"/>
        </w:trPr>
        <w:tc>
          <w:tcPr>
            <w:tcW w:w="940" w:type="dxa"/>
            <w:vAlign w:val="bottom"/>
            <w:tcBorders>
              <w:left w:val="single" w:sz="8" w:color="231F20"/>
            </w:tcBorders>
          </w:tcPr>
          <w:p>
            <w:pPr>
              <w:spacing w:after="0"/>
              <w:rPr>
                <w:sz w:val="6"/>
                <w:szCs w:val="6"/>
                <w:color w:val="auto"/>
              </w:rPr>
            </w:pPr>
          </w:p>
        </w:tc>
        <w:tc>
          <w:tcPr>
            <w:tcW w:w="2360" w:type="dxa"/>
            <w:vAlign w:val="bottom"/>
            <w:vMerge w:val="continue"/>
          </w:tcPr>
          <w:p>
            <w:pPr>
              <w:spacing w:after="0"/>
              <w:rPr>
                <w:sz w:val="6"/>
                <w:szCs w:val="6"/>
                <w:color w:val="auto"/>
              </w:rPr>
            </w:pPr>
          </w:p>
        </w:tc>
        <w:tc>
          <w:tcPr>
            <w:tcW w:w="1240" w:type="dxa"/>
            <w:vAlign w:val="bottom"/>
            <w:tcBorders>
              <w:right w:val="single" w:sz="8" w:color="231F20"/>
            </w:tcBorders>
          </w:tcPr>
          <w:p>
            <w:pPr>
              <w:spacing w:after="0"/>
              <w:rPr>
                <w:sz w:val="6"/>
                <w:szCs w:val="6"/>
                <w:color w:val="auto"/>
              </w:rPr>
            </w:pPr>
          </w:p>
        </w:tc>
        <w:tc>
          <w:tcPr>
            <w:tcW w:w="134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180" w:type="dxa"/>
            <w:vAlign w:val="bottom"/>
          </w:tcPr>
          <w:p>
            <w:pPr>
              <w:spacing w:after="0"/>
              <w:rPr>
                <w:sz w:val="6"/>
                <w:szCs w:val="6"/>
                <w:color w:val="auto"/>
              </w:rPr>
            </w:pPr>
          </w:p>
        </w:tc>
        <w:tc>
          <w:tcPr>
            <w:tcW w:w="1160" w:type="dxa"/>
            <w:vAlign w:val="bottom"/>
            <w:tcBorders>
              <w:right w:val="single" w:sz="8" w:color="231F20"/>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7"/>
              </w:rPr>
              <w:t>ABSTAIN</w:t>
            </w:r>
          </w:p>
        </w:tc>
        <w:tc>
          <w:tcPr>
            <w:tcW w:w="132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40" w:type="dxa"/>
            <w:vAlign w:val="bottom"/>
            <w:tcBorders>
              <w:left w:val="single" w:sz="8" w:color="231F20"/>
            </w:tcBorders>
          </w:tcPr>
          <w:p>
            <w:pPr>
              <w:spacing w:after="0"/>
              <w:rPr>
                <w:sz w:val="7"/>
                <w:szCs w:val="7"/>
                <w:color w:val="auto"/>
              </w:rPr>
            </w:pPr>
          </w:p>
        </w:tc>
        <w:tc>
          <w:tcPr>
            <w:tcW w:w="236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tcBorders>
              <w:left w:val="single" w:sz="8" w:color="231F20"/>
            </w:tcBorders>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231F20"/>
              <w:bottom w:val="single" w:sz="8" w:color="231F20"/>
            </w:tcBorders>
          </w:tcPr>
          <w:p>
            <w:pPr>
              <w:spacing w:after="0"/>
              <w:rPr>
                <w:sz w:val="9"/>
                <w:szCs w:val="9"/>
                <w:color w:val="auto"/>
              </w:rPr>
            </w:pPr>
          </w:p>
        </w:tc>
        <w:tc>
          <w:tcPr>
            <w:tcW w:w="2360" w:type="dxa"/>
            <w:vAlign w:val="bottom"/>
            <w:tcBorders>
              <w:bottom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1360" w:type="dxa"/>
            <w:vAlign w:val="bottom"/>
            <w:tcBorders>
              <w:bottom w:val="single" w:sz="8" w:color="231F20"/>
              <w:right w:val="single" w:sz="8" w:color="231F20"/>
            </w:tcBorders>
          </w:tcPr>
          <w:p>
            <w:pPr>
              <w:spacing w:after="0"/>
              <w:rPr>
                <w:sz w:val="9"/>
                <w:szCs w:val="9"/>
                <w:color w:val="auto"/>
              </w:rPr>
            </w:pPr>
          </w:p>
        </w:tc>
        <w:tc>
          <w:tcPr>
            <w:tcW w:w="180" w:type="dxa"/>
            <w:vAlign w:val="bottom"/>
            <w:tcBorders>
              <w:bottom w:val="single" w:sz="8" w:color="231F20"/>
            </w:tcBorders>
          </w:tcPr>
          <w:p>
            <w:pPr>
              <w:spacing w:after="0"/>
              <w:rPr>
                <w:sz w:val="9"/>
                <w:szCs w:val="9"/>
                <w:color w:val="auto"/>
              </w:rPr>
            </w:pPr>
          </w:p>
        </w:tc>
        <w:tc>
          <w:tcPr>
            <w:tcW w:w="1160" w:type="dxa"/>
            <w:vAlign w:val="bottom"/>
            <w:tcBorders>
              <w:bottom w:val="single" w:sz="8" w:color="231F20"/>
              <w:right w:val="single" w:sz="8" w:color="231F20"/>
            </w:tcBorders>
          </w:tcPr>
          <w:p>
            <w:pPr>
              <w:spacing w:after="0"/>
              <w:rPr>
                <w:sz w:val="9"/>
                <w:szCs w:val="9"/>
                <w:color w:val="auto"/>
              </w:rPr>
            </w:pPr>
          </w:p>
        </w:tc>
        <w:tc>
          <w:tcPr>
            <w:tcW w:w="1320" w:type="dxa"/>
            <w:vAlign w:val="bottom"/>
            <w:tcBorders>
              <w:bottom w:val="single" w:sz="8" w:color="231F20"/>
              <w:right w:val="single" w:sz="8" w:color="231F20"/>
            </w:tcBorders>
            <w:vMerge w:val="continue"/>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3.</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To amend the Memorandum</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2,589,727,904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4,227</w:t>
            </w:r>
          </w:p>
        </w:tc>
        <w:tc>
          <w:tcPr>
            <w:tcW w:w="180" w:type="dxa"/>
            <w:vAlign w:val="bottom"/>
          </w:tcPr>
          <w:p>
            <w:pPr>
              <w:spacing w:after="0"/>
              <w:rPr>
                <w:sz w:val="23"/>
                <w:szCs w:val="23"/>
                <w:color w:val="auto"/>
              </w:rPr>
            </w:pPr>
          </w:p>
        </w:tc>
        <w:tc>
          <w:tcPr>
            <w:tcW w:w="116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9"/>
              </w:rPr>
              <w:t>463,016</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2,589,732,131</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2,589,732,131</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and the Articles of Association</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(99.999837%)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(0.000163%)</w:t>
            </w:r>
          </w:p>
        </w:tc>
        <w:tc>
          <w:tcPr>
            <w:tcW w:w="180" w:type="dxa"/>
            <w:vAlign w:val="bottom"/>
          </w:tcPr>
          <w:p>
            <w:pPr>
              <w:spacing w:after="0"/>
              <w:rPr>
                <w:sz w:val="18"/>
                <w:szCs w:val="18"/>
                <w:color w:val="auto"/>
              </w:rPr>
            </w:pPr>
          </w:p>
        </w:tc>
        <w:tc>
          <w:tcPr>
            <w:tcW w:w="1160" w:type="dxa"/>
            <w:vAlign w:val="bottom"/>
            <w:tcBorders>
              <w:right w:val="single" w:sz="8" w:color="231F20"/>
            </w:tcBorders>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(details of which are set out in</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80" w:type="dxa"/>
            <w:vAlign w:val="bottom"/>
            <w:tcBorders>
              <w:bottom w:val="single" w:sz="8" w:color="231F20"/>
            </w:tcBorders>
          </w:tcPr>
          <w:p>
            <w:pPr>
              <w:spacing w:after="0"/>
              <w:rPr>
                <w:sz w:val="8"/>
                <w:szCs w:val="8"/>
                <w:color w:val="auto"/>
              </w:rPr>
            </w:pPr>
          </w:p>
        </w:tc>
        <w:tc>
          <w:tcPr>
            <w:tcW w:w="116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137,181,078</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8"/>
                <w:szCs w:val="8"/>
                <w:color w:val="auto"/>
              </w:rPr>
            </w:pPr>
          </w:p>
        </w:tc>
        <w:tc>
          <w:tcPr>
            <w:tcW w:w="1160" w:type="dxa"/>
            <w:vAlign w:val="bottom"/>
            <w:tcBorders>
              <w:right w:val="single" w:sz="8" w:color="231F20"/>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0" w:type="dxa"/>
            <w:vAlign w:val="bottom"/>
          </w:tcPr>
          <w:p>
            <w:pPr>
              <w:spacing w:after="0"/>
              <w:rPr>
                <w:sz w:val="1"/>
                <w:szCs w:val="1"/>
                <w:color w:val="auto"/>
              </w:rPr>
            </w:pPr>
          </w:p>
        </w:tc>
      </w:tr>
      <w:tr>
        <w:trPr>
          <w:trHeight w:val="180"/>
        </w:trPr>
        <w:tc>
          <w:tcPr>
            <w:tcW w:w="940" w:type="dxa"/>
            <w:vAlign w:val="bottom"/>
            <w:tcBorders>
              <w:left w:val="single" w:sz="8" w:color="231F20"/>
              <w:right w:val="single" w:sz="8" w:color="231F20"/>
            </w:tcBorders>
          </w:tcPr>
          <w:p>
            <w:pPr>
              <w:spacing w:after="0"/>
              <w:rPr>
                <w:sz w:val="15"/>
                <w:szCs w:val="15"/>
                <w:color w:val="auto"/>
              </w:rPr>
            </w:pPr>
          </w:p>
        </w:tc>
        <w:tc>
          <w:tcPr>
            <w:tcW w:w="2360" w:type="dxa"/>
            <w:vAlign w:val="bottom"/>
            <w:tcBorders>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Appendix II to the Circular)</w:t>
            </w:r>
          </w:p>
        </w:tc>
        <w:tc>
          <w:tcPr>
            <w:tcW w:w="124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right w:val="single" w:sz="8" w:color="231F20"/>
            </w:tcBorders>
            <w:vMerge w:val="continue"/>
          </w:tcPr>
          <w:p>
            <w:pPr>
              <w:spacing w:after="0"/>
              <w:rPr>
                <w:sz w:val="15"/>
                <w:szCs w:val="15"/>
                <w:color w:val="auto"/>
              </w:rPr>
            </w:pPr>
          </w:p>
        </w:tc>
        <w:tc>
          <w:tcPr>
            <w:tcW w:w="132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40" w:type="dxa"/>
            <w:vAlign w:val="bottom"/>
            <w:tcBorders>
              <w:left w:val="single" w:sz="8" w:color="231F20"/>
              <w:right w:val="single" w:sz="8" w:color="231F20"/>
            </w:tcBorders>
          </w:tcPr>
          <w:p>
            <w:pPr>
              <w:spacing w:after="0"/>
              <w:rPr>
                <w:sz w:val="21"/>
                <w:szCs w:val="21"/>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and to authorize the Board to</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80" w:type="dxa"/>
            <w:vAlign w:val="bottom"/>
          </w:tcPr>
          <w:p>
            <w:pPr>
              <w:spacing w:after="0"/>
              <w:rPr>
                <w:sz w:val="21"/>
                <w:szCs w:val="21"/>
                <w:color w:val="auto"/>
              </w:rPr>
            </w:pPr>
          </w:p>
        </w:tc>
        <w:tc>
          <w:tcPr>
            <w:tcW w:w="116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940" w:type="dxa"/>
            <w:vAlign w:val="bottom"/>
            <w:tcBorders>
              <w:left w:val="single" w:sz="8" w:color="231F20"/>
              <w:right w:val="single" w:sz="8" w:color="231F20"/>
            </w:tcBorders>
          </w:tcPr>
          <w:p>
            <w:pPr>
              <w:spacing w:after="0"/>
              <w:rPr>
                <w:sz w:val="5"/>
                <w:szCs w:val="5"/>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deal with on behalf of the</w:t>
            </w:r>
          </w:p>
        </w:tc>
        <w:tc>
          <w:tcPr>
            <w:tcW w:w="124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80" w:type="dxa"/>
            <w:vAlign w:val="bottom"/>
            <w:tcBorders>
              <w:bottom w:val="single" w:sz="8" w:color="231F20"/>
            </w:tcBorders>
          </w:tcPr>
          <w:p>
            <w:pPr>
              <w:spacing w:after="0"/>
              <w:rPr>
                <w:sz w:val="5"/>
                <w:szCs w:val="5"/>
                <w:color w:val="auto"/>
              </w:rPr>
            </w:pPr>
          </w:p>
        </w:tc>
        <w:tc>
          <w:tcPr>
            <w:tcW w:w="1160" w:type="dxa"/>
            <w:vAlign w:val="bottom"/>
            <w:tcBorders>
              <w:bottom w:val="single" w:sz="8" w:color="231F20"/>
              <w:right w:val="single" w:sz="8" w:color="231F20"/>
            </w:tcBorders>
          </w:tcPr>
          <w:p>
            <w:pPr>
              <w:spacing w:after="0"/>
              <w:rPr>
                <w:sz w:val="5"/>
                <w:szCs w:val="5"/>
                <w:color w:val="auto"/>
              </w:rPr>
            </w:pPr>
          </w:p>
        </w:tc>
        <w:tc>
          <w:tcPr>
            <w:tcW w:w="132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continue"/>
          </w:tcPr>
          <w:p>
            <w:pPr>
              <w:spacing w:after="0"/>
              <w:rPr>
                <w:sz w:val="11"/>
                <w:szCs w:val="11"/>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2,726,908,982</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4,227</w:t>
            </w:r>
          </w:p>
        </w:tc>
        <w:tc>
          <w:tcPr>
            <w:tcW w:w="180" w:type="dxa"/>
            <w:vAlign w:val="bottom"/>
          </w:tcPr>
          <w:p>
            <w:pPr>
              <w:spacing w:after="0"/>
              <w:rPr>
                <w:sz w:val="11"/>
                <w:szCs w:val="11"/>
                <w:color w:val="auto"/>
              </w:rPr>
            </w:pPr>
          </w:p>
        </w:tc>
        <w:tc>
          <w:tcPr>
            <w:tcW w:w="1160" w:type="dxa"/>
            <w:vAlign w:val="bottom"/>
            <w:tcBorders>
              <w:right w:val="single" w:sz="8" w:color="231F20"/>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231F20"/>
                <w:w w:val="99"/>
              </w:rPr>
              <w:t>463,016</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8"/>
              </w:rPr>
              <w:t>2,726,913,209</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2,726,913,209</w:t>
            </w: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Company the relevant filing</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(99.999845%)</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(0.000155%)</w:t>
            </w:r>
          </w:p>
        </w:tc>
        <w:tc>
          <w:tcPr>
            <w:tcW w:w="180" w:type="dxa"/>
            <w:vAlign w:val="bottom"/>
          </w:tcPr>
          <w:p>
            <w:pPr>
              <w:spacing w:after="0"/>
              <w:rPr>
                <w:sz w:val="7"/>
                <w:szCs w:val="7"/>
                <w:color w:val="auto"/>
              </w:rPr>
            </w:pPr>
          </w:p>
        </w:tc>
        <w:tc>
          <w:tcPr>
            <w:tcW w:w="1160" w:type="dxa"/>
            <w:vAlign w:val="bottom"/>
            <w:tcBorders>
              <w:right w:val="single" w:sz="8" w:color="231F20"/>
            </w:tcBorders>
            <w:vMerge w:val="restart"/>
          </w:tcPr>
          <w:p>
            <w:pPr>
              <w:ind w:left="34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and amendments (where</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necessary), procedures and</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other related issues.</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8"/>
                <w:szCs w:val="8"/>
                <w:color w:val="auto"/>
              </w:rPr>
            </w:pPr>
          </w:p>
        </w:tc>
        <w:tc>
          <w:tcPr>
            <w:tcW w:w="1360" w:type="dxa"/>
            <w:vAlign w:val="bottom"/>
            <w:tcBorders>
              <w:right w:val="single" w:sz="8" w:color="231F2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right w:val="single" w:sz="8" w:color="231F20"/>
            </w:tcBorders>
          </w:tcPr>
          <w:p>
            <w:pPr>
              <w:spacing w:after="0"/>
              <w:rPr>
                <w:sz w:val="8"/>
                <w:szCs w:val="8"/>
                <w:color w:val="auto"/>
              </w:rPr>
            </w:pPr>
          </w:p>
        </w:tc>
        <w:tc>
          <w:tcPr>
            <w:tcW w:w="132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right w:val="single" w:sz="8" w:color="231F20"/>
            </w:tcBorders>
          </w:tcPr>
          <w:p>
            <w:pPr>
              <w:spacing w:after="0"/>
              <w:rPr>
                <w:sz w:val="10"/>
                <w:szCs w:val="10"/>
                <w:color w:val="auto"/>
              </w:rPr>
            </w:pP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 special resolution with not less than three-fourths of valid votes held by Shareholders (including</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4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proxies) attending the AGM cast in favour thereof.</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80" w:type="dxa"/>
            <w:vAlign w:val="bottom"/>
            <w:tcBorders>
              <w:bottom w:val="single" w:sz="8" w:color="231F20"/>
            </w:tcBorders>
          </w:tcPr>
          <w:p>
            <w:pPr>
              <w:spacing w:after="0"/>
              <w:rPr>
                <w:sz w:val="7"/>
                <w:szCs w:val="7"/>
                <w:color w:val="auto"/>
              </w:rPr>
            </w:pPr>
          </w:p>
        </w:tc>
        <w:tc>
          <w:tcPr>
            <w:tcW w:w="116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940" w:type="dxa"/>
            <w:vAlign w:val="bottom"/>
            <w:tcBorders>
              <w:top w:val="single" w:sz="8" w:color="231F20"/>
              <w:left w:val="single" w:sz="8" w:color="231F20"/>
            </w:tcBorders>
          </w:tcPr>
          <w:p>
            <w:pPr>
              <w:spacing w:after="0"/>
              <w:rPr>
                <w:sz w:val="24"/>
                <w:szCs w:val="24"/>
                <w:color w:val="auto"/>
              </w:rPr>
            </w:pPr>
          </w:p>
        </w:tc>
        <w:tc>
          <w:tcPr>
            <w:tcW w:w="2360" w:type="dxa"/>
            <w:vAlign w:val="bottom"/>
            <w:tcBorders>
              <w:top w:val="single" w:sz="8" w:color="231F20"/>
            </w:tcBorders>
          </w:tcPr>
          <w:p>
            <w:pPr>
              <w:spacing w:after="0"/>
              <w:rPr>
                <w:sz w:val="24"/>
                <w:szCs w:val="24"/>
                <w:color w:val="auto"/>
              </w:rPr>
            </w:pPr>
          </w:p>
        </w:tc>
        <w:tc>
          <w:tcPr>
            <w:tcW w:w="1240" w:type="dxa"/>
            <w:vAlign w:val="bottom"/>
            <w:tcBorders>
              <w:top w:val="single" w:sz="8" w:color="231F20"/>
              <w:right w:val="single" w:sz="8" w:color="231F20"/>
            </w:tcBorders>
          </w:tcPr>
          <w:p>
            <w:pPr>
              <w:spacing w:after="0"/>
              <w:rPr>
                <w:sz w:val="24"/>
                <w:szCs w:val="24"/>
                <w:color w:val="auto"/>
              </w:rPr>
            </w:pPr>
          </w:p>
        </w:tc>
        <w:tc>
          <w:tcPr>
            <w:tcW w:w="404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 VOTES CAST AND</w:t>
            </w:r>
          </w:p>
        </w:tc>
        <w:tc>
          <w:tcPr>
            <w:tcW w:w="13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5"/>
              </w:rPr>
              <w:t>TOTAL</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tcBorders>
          </w:tcPr>
          <w:p>
            <w:pPr>
              <w:spacing w:after="0"/>
              <w:rPr>
                <w:sz w:val="18"/>
                <w:szCs w:val="18"/>
                <w:color w:val="auto"/>
              </w:rPr>
            </w:pPr>
          </w:p>
        </w:tc>
        <w:tc>
          <w:tcPr>
            <w:tcW w:w="3600" w:type="dxa"/>
            <w:vAlign w:val="bottom"/>
            <w:tcBorders>
              <w:right w:val="single" w:sz="8" w:color="231F20"/>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86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231F20"/>
                <w:w w:val="99"/>
              </w:rPr>
              <w:t>PERCENTAGE (%)</w:t>
            </w: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36"/>
        </w:trPr>
        <w:tc>
          <w:tcPr>
            <w:tcW w:w="940" w:type="dxa"/>
            <w:vAlign w:val="bottom"/>
            <w:tcBorders>
              <w:left w:val="single" w:sz="8" w:color="231F20"/>
            </w:tcBorders>
          </w:tcPr>
          <w:p>
            <w:pPr>
              <w:spacing w:after="0"/>
              <w:rPr>
                <w:sz w:val="3"/>
                <w:szCs w:val="3"/>
                <w:color w:val="auto"/>
              </w:rPr>
            </w:pPr>
          </w:p>
        </w:tc>
        <w:tc>
          <w:tcPr>
            <w:tcW w:w="3600" w:type="dxa"/>
            <w:vAlign w:val="bottom"/>
            <w:tcBorders>
              <w:right w:val="single" w:sz="8" w:color="231F20"/>
            </w:tcBorders>
            <w:gridSpan w:val="2"/>
            <w:vMerge w:val="continue"/>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13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VOTES CAST</w:t>
            </w:r>
          </w:p>
        </w:tc>
        <w:tc>
          <w:tcPr>
            <w:tcW w:w="0" w:type="dxa"/>
            <w:vAlign w:val="bottom"/>
          </w:tcPr>
          <w:p>
            <w:pPr>
              <w:spacing w:after="0"/>
              <w:rPr>
                <w:sz w:val="1"/>
                <w:szCs w:val="1"/>
                <w:color w:val="auto"/>
              </w:rPr>
            </w:pPr>
          </w:p>
        </w:tc>
      </w:tr>
      <w:tr>
        <w:trPr>
          <w:trHeight w:val="75"/>
        </w:trPr>
        <w:tc>
          <w:tcPr>
            <w:tcW w:w="940" w:type="dxa"/>
            <w:vAlign w:val="bottom"/>
            <w:tcBorders>
              <w:left w:val="single" w:sz="8" w:color="231F20"/>
            </w:tcBorders>
          </w:tcPr>
          <w:p>
            <w:pPr>
              <w:spacing w:after="0"/>
              <w:rPr>
                <w:sz w:val="6"/>
                <w:szCs w:val="6"/>
                <w:color w:val="auto"/>
              </w:rPr>
            </w:pPr>
          </w:p>
        </w:tc>
        <w:tc>
          <w:tcPr>
            <w:tcW w:w="3600" w:type="dxa"/>
            <w:vAlign w:val="bottom"/>
            <w:tcBorders>
              <w:right w:val="single" w:sz="8" w:color="231F20"/>
            </w:tcBorders>
            <w:gridSpan w:val="2"/>
            <w:vMerge w:val="continue"/>
          </w:tcPr>
          <w:p>
            <w:pPr>
              <w:spacing w:after="0"/>
              <w:rPr>
                <w:sz w:val="6"/>
                <w:szCs w:val="6"/>
                <w:color w:val="auto"/>
              </w:rPr>
            </w:pPr>
          </w:p>
        </w:tc>
        <w:tc>
          <w:tcPr>
            <w:tcW w:w="1340" w:type="dxa"/>
            <w:vAlign w:val="bottom"/>
            <w:tcBorders>
              <w:right w:val="single" w:sz="8" w:color="231F20"/>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36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160" w:type="dxa"/>
            <w:vAlign w:val="bottom"/>
          </w:tcPr>
          <w:p>
            <w:pPr>
              <w:spacing w:after="0"/>
              <w:rPr>
                <w:sz w:val="6"/>
                <w:szCs w:val="6"/>
                <w:color w:val="auto"/>
              </w:rPr>
            </w:pPr>
          </w:p>
        </w:tc>
        <w:tc>
          <w:tcPr>
            <w:tcW w:w="118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231F20"/>
              </w:rPr>
              <w:t>ABSTAIN</w:t>
            </w:r>
          </w:p>
        </w:tc>
        <w:tc>
          <w:tcPr>
            <w:tcW w:w="132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40" w:type="dxa"/>
            <w:vAlign w:val="bottom"/>
            <w:tcBorders>
              <w:left w:val="single" w:sz="8" w:color="231F20"/>
            </w:tcBorders>
          </w:tcPr>
          <w:p>
            <w:pPr>
              <w:spacing w:after="0"/>
              <w:rPr>
                <w:sz w:val="7"/>
                <w:szCs w:val="7"/>
                <w:color w:val="auto"/>
              </w:rPr>
            </w:pPr>
          </w:p>
        </w:tc>
        <w:tc>
          <w:tcPr>
            <w:tcW w:w="236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tcBorders>
              <w:left w:val="single" w:sz="8" w:color="231F20"/>
            </w:tcBorders>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231F20"/>
              <w:bottom w:val="single" w:sz="8" w:color="231F20"/>
            </w:tcBorders>
          </w:tcPr>
          <w:p>
            <w:pPr>
              <w:spacing w:after="0"/>
              <w:rPr>
                <w:sz w:val="9"/>
                <w:szCs w:val="9"/>
                <w:color w:val="auto"/>
              </w:rPr>
            </w:pPr>
          </w:p>
        </w:tc>
        <w:tc>
          <w:tcPr>
            <w:tcW w:w="2360" w:type="dxa"/>
            <w:vAlign w:val="bottom"/>
            <w:tcBorders>
              <w:bottom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1360" w:type="dxa"/>
            <w:vAlign w:val="bottom"/>
            <w:tcBorders>
              <w:bottom w:val="single" w:sz="8" w:color="231F20"/>
              <w:right w:val="single" w:sz="8" w:color="231F20"/>
            </w:tcBorders>
          </w:tcPr>
          <w:p>
            <w:pPr>
              <w:spacing w:after="0"/>
              <w:rPr>
                <w:sz w:val="9"/>
                <w:szCs w:val="9"/>
                <w:color w:val="auto"/>
              </w:rPr>
            </w:pPr>
          </w:p>
        </w:tc>
        <w:tc>
          <w:tcPr>
            <w:tcW w:w="160" w:type="dxa"/>
            <w:vAlign w:val="bottom"/>
            <w:tcBorders>
              <w:bottom w:val="single" w:sz="8" w:color="231F20"/>
            </w:tcBorders>
          </w:tcPr>
          <w:p>
            <w:pPr>
              <w:spacing w:after="0"/>
              <w:rPr>
                <w:sz w:val="9"/>
                <w:szCs w:val="9"/>
                <w:color w:val="auto"/>
              </w:rPr>
            </w:pPr>
          </w:p>
        </w:tc>
        <w:tc>
          <w:tcPr>
            <w:tcW w:w="1180" w:type="dxa"/>
            <w:vAlign w:val="bottom"/>
            <w:tcBorders>
              <w:bottom w:val="single" w:sz="8" w:color="231F20"/>
              <w:right w:val="single" w:sz="8" w:color="231F20"/>
            </w:tcBorders>
          </w:tcPr>
          <w:p>
            <w:pPr>
              <w:spacing w:after="0"/>
              <w:rPr>
                <w:sz w:val="9"/>
                <w:szCs w:val="9"/>
                <w:color w:val="auto"/>
              </w:rPr>
            </w:pPr>
          </w:p>
        </w:tc>
        <w:tc>
          <w:tcPr>
            <w:tcW w:w="1320" w:type="dxa"/>
            <w:vAlign w:val="bottom"/>
            <w:tcBorders>
              <w:bottom w:val="single" w:sz="8" w:color="231F20"/>
              <w:right w:val="single" w:sz="8" w:color="231F20"/>
            </w:tcBorders>
            <w:vMerge w:val="continue"/>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jc w:val="right"/>
              <w:ind w:right="590"/>
              <w:spacing w:after="0"/>
              <w:rPr>
                <w:sz w:val="20"/>
                <w:szCs w:val="20"/>
                <w:color w:val="auto"/>
              </w:rPr>
            </w:pPr>
            <w:r>
              <w:rPr>
                <w:rFonts w:ascii="Times New Roman" w:cs="Times New Roman" w:eastAsia="Times New Roman" w:hAnsi="Times New Roman"/>
                <w:sz w:val="18"/>
                <w:szCs w:val="18"/>
                <w:color w:val="231F20"/>
              </w:rPr>
              <w:t>4.</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grant a general mandate to</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2,040,981,356</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524,799,883</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8"/>
                <w:szCs w:val="18"/>
                <w:color w:val="231F20"/>
                <w:w w:val="98"/>
              </w:rPr>
              <w:t>12,376,811</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2,565,781,239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2,565,781,239</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the Directors to issue, allot,</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(79.546195%)</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(20.453805%)</w:t>
            </w:r>
          </w:p>
        </w:tc>
        <w:tc>
          <w:tcPr>
            <w:tcW w:w="160" w:type="dxa"/>
            <w:vAlign w:val="bottom"/>
          </w:tcPr>
          <w:p>
            <w:pPr>
              <w:spacing w:after="0"/>
              <w:rPr>
                <w:sz w:val="18"/>
                <w:szCs w:val="18"/>
                <w:color w:val="auto"/>
              </w:rPr>
            </w:pPr>
          </w:p>
        </w:tc>
        <w:tc>
          <w:tcPr>
            <w:tcW w:w="118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and deal with additional</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1,371,810,780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8"/>
                <w:szCs w:val="8"/>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180"/>
        </w:trPr>
        <w:tc>
          <w:tcPr>
            <w:tcW w:w="940" w:type="dxa"/>
            <w:vAlign w:val="bottom"/>
            <w:tcBorders>
              <w:left w:val="single" w:sz="8" w:color="231F20"/>
              <w:right w:val="single" w:sz="8" w:color="231F20"/>
            </w:tcBorders>
          </w:tcPr>
          <w:p>
            <w:pPr>
              <w:spacing w:after="0"/>
              <w:rPr>
                <w:sz w:val="15"/>
                <w:szCs w:val="15"/>
                <w:color w:val="auto"/>
              </w:rPr>
            </w:pPr>
          </w:p>
        </w:tc>
        <w:tc>
          <w:tcPr>
            <w:tcW w:w="2360" w:type="dxa"/>
            <w:vAlign w:val="bottom"/>
            <w:tcBorders>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8"/>
                <w:szCs w:val="18"/>
                <w:color w:val="231F20"/>
              </w:rPr>
              <w:t>Class A ordinary shares of the</w:t>
            </w:r>
          </w:p>
        </w:tc>
        <w:tc>
          <w:tcPr>
            <w:tcW w:w="124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231F20"/>
            </w:tcBorders>
            <w:vMerge w:val="continue"/>
          </w:tcPr>
          <w:p>
            <w:pPr>
              <w:spacing w:after="0"/>
              <w:rPr>
                <w:sz w:val="15"/>
                <w:szCs w:val="15"/>
                <w:color w:val="auto"/>
              </w:rPr>
            </w:pPr>
          </w:p>
        </w:tc>
        <w:tc>
          <w:tcPr>
            <w:tcW w:w="132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40" w:type="dxa"/>
            <w:vAlign w:val="bottom"/>
            <w:tcBorders>
              <w:left w:val="single" w:sz="8" w:color="231F20"/>
              <w:right w:val="single" w:sz="8" w:color="231F20"/>
            </w:tcBorders>
          </w:tcPr>
          <w:p>
            <w:pPr>
              <w:spacing w:after="0"/>
              <w:rPr>
                <w:sz w:val="21"/>
                <w:szCs w:val="21"/>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Company not exceeding 20%</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1"/>
                <w:szCs w:val="21"/>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940" w:type="dxa"/>
            <w:vAlign w:val="bottom"/>
            <w:tcBorders>
              <w:left w:val="single" w:sz="8" w:color="231F20"/>
              <w:right w:val="single" w:sz="8" w:color="231F20"/>
            </w:tcBorders>
          </w:tcPr>
          <w:p>
            <w:pPr>
              <w:spacing w:after="0"/>
              <w:rPr>
                <w:sz w:val="5"/>
                <w:szCs w:val="5"/>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of the total number of issued</w:t>
            </w:r>
          </w:p>
        </w:tc>
        <w:tc>
          <w:tcPr>
            <w:tcW w:w="124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1180" w:type="dxa"/>
            <w:vAlign w:val="bottom"/>
            <w:tcBorders>
              <w:bottom w:val="single" w:sz="8" w:color="231F20"/>
              <w:right w:val="single" w:sz="8" w:color="231F20"/>
            </w:tcBorders>
          </w:tcPr>
          <w:p>
            <w:pPr>
              <w:spacing w:after="0"/>
              <w:rPr>
                <w:sz w:val="5"/>
                <w:szCs w:val="5"/>
                <w:color w:val="auto"/>
              </w:rPr>
            </w:pPr>
          </w:p>
        </w:tc>
        <w:tc>
          <w:tcPr>
            <w:tcW w:w="132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continue"/>
          </w:tcPr>
          <w:p>
            <w:pPr>
              <w:spacing w:after="0"/>
              <w:rPr>
                <w:sz w:val="11"/>
                <w:szCs w:val="11"/>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3,412,792,136</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524,799,883</w:t>
            </w:r>
          </w:p>
        </w:tc>
        <w:tc>
          <w:tcPr>
            <w:tcW w:w="160" w:type="dxa"/>
            <w:vAlign w:val="bottom"/>
          </w:tcPr>
          <w:p>
            <w:pPr>
              <w:spacing w:after="0"/>
              <w:rPr>
                <w:sz w:val="11"/>
                <w:szCs w:val="11"/>
                <w:color w:val="auto"/>
              </w:rPr>
            </w:pPr>
          </w:p>
        </w:tc>
        <w:tc>
          <w:tcPr>
            <w:tcW w:w="1180" w:type="dxa"/>
            <w:vAlign w:val="bottom"/>
            <w:tcBorders>
              <w:right w:val="single" w:sz="8" w:color="231F20"/>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231F20"/>
                <w:w w:val="98"/>
              </w:rPr>
              <w:t>12,376,811</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8"/>
              </w:rPr>
              <w:t>2,702,962,317</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3,937,592,019</w:t>
            </w: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Shares (excluding treasury</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(86.672060%)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(13.327940%)</w:t>
            </w:r>
          </w:p>
        </w:tc>
        <w:tc>
          <w:tcPr>
            <w:tcW w:w="160" w:type="dxa"/>
            <w:vAlign w:val="bottom"/>
          </w:tcPr>
          <w:p>
            <w:pPr>
              <w:spacing w:after="0"/>
              <w:rPr>
                <w:sz w:val="7"/>
                <w:szCs w:val="7"/>
                <w:color w:val="auto"/>
              </w:rPr>
            </w:pPr>
          </w:p>
        </w:tc>
        <w:tc>
          <w:tcPr>
            <w:tcW w:w="1180" w:type="dxa"/>
            <w:vAlign w:val="bottom"/>
            <w:tcBorders>
              <w:right w:val="single" w:sz="8" w:color="231F20"/>
            </w:tcBorders>
            <w:vMerge w:val="restart"/>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shares) of the Company as of</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the date of passing of this</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resolution.</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8"/>
                <w:szCs w:val="8"/>
                <w:color w:val="auto"/>
              </w:rPr>
            </w:pPr>
          </w:p>
        </w:tc>
        <w:tc>
          <w:tcPr>
            <w:tcW w:w="1360" w:type="dxa"/>
            <w:vAlign w:val="bottom"/>
            <w:tcBorders>
              <w:right w:val="single" w:sz="8" w:color="231F20"/>
            </w:tcBorders>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right w:val="single" w:sz="8" w:color="231F20"/>
            </w:tcBorders>
          </w:tcPr>
          <w:p>
            <w:pPr>
              <w:spacing w:after="0"/>
              <w:rPr>
                <w:sz w:val="8"/>
                <w:szCs w:val="8"/>
                <w:color w:val="auto"/>
              </w:rPr>
            </w:pPr>
          </w:p>
        </w:tc>
        <w:tc>
          <w:tcPr>
            <w:tcW w:w="132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jc w:val="right"/>
              <w:ind w:right="590"/>
              <w:spacing w:after="0"/>
              <w:rPr>
                <w:sz w:val="20"/>
                <w:szCs w:val="20"/>
                <w:color w:val="auto"/>
              </w:rPr>
            </w:pPr>
            <w:r>
              <w:rPr>
                <w:rFonts w:ascii="Times New Roman" w:cs="Times New Roman" w:eastAsia="Times New Roman" w:hAnsi="Times New Roman"/>
                <w:sz w:val="18"/>
                <w:szCs w:val="18"/>
                <w:color w:val="231F20"/>
              </w:rPr>
              <w:t>5.</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To grant a general mandate to</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2,588,959,164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722,873</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70"/>
              <w:spacing w:after="0"/>
              <w:rPr>
                <w:sz w:val="20"/>
                <w:szCs w:val="20"/>
                <w:color w:val="auto"/>
              </w:rPr>
            </w:pPr>
            <w:r>
              <w:rPr>
                <w:rFonts w:ascii="Times New Roman" w:cs="Times New Roman" w:eastAsia="Times New Roman" w:hAnsi="Times New Roman"/>
                <w:sz w:val="18"/>
                <w:szCs w:val="18"/>
                <w:color w:val="231F20"/>
                <w:w w:val="95"/>
              </w:rPr>
              <w:t>511,910</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2,589,682,037</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2,589,682,037</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the Directors to repurchase</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(99.972086%)</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(0.027914%)</w:t>
            </w:r>
          </w:p>
        </w:tc>
        <w:tc>
          <w:tcPr>
            <w:tcW w:w="160" w:type="dxa"/>
            <w:vAlign w:val="bottom"/>
          </w:tcPr>
          <w:p>
            <w:pPr>
              <w:spacing w:after="0"/>
              <w:rPr>
                <w:sz w:val="18"/>
                <w:szCs w:val="18"/>
                <w:color w:val="auto"/>
              </w:rPr>
            </w:pPr>
          </w:p>
        </w:tc>
        <w:tc>
          <w:tcPr>
            <w:tcW w:w="118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Shares and/ or ADSs of the</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1,371,810,780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8"/>
                <w:szCs w:val="8"/>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180"/>
        </w:trPr>
        <w:tc>
          <w:tcPr>
            <w:tcW w:w="940" w:type="dxa"/>
            <w:vAlign w:val="bottom"/>
            <w:tcBorders>
              <w:left w:val="single" w:sz="8" w:color="231F20"/>
              <w:right w:val="single" w:sz="8" w:color="231F20"/>
            </w:tcBorders>
          </w:tcPr>
          <w:p>
            <w:pPr>
              <w:spacing w:after="0"/>
              <w:rPr>
                <w:sz w:val="15"/>
                <w:szCs w:val="15"/>
                <w:color w:val="auto"/>
              </w:rPr>
            </w:pPr>
          </w:p>
        </w:tc>
        <w:tc>
          <w:tcPr>
            <w:tcW w:w="2360" w:type="dxa"/>
            <w:vAlign w:val="bottom"/>
            <w:tcBorders>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Company representing up to</w:t>
            </w:r>
          </w:p>
        </w:tc>
        <w:tc>
          <w:tcPr>
            <w:tcW w:w="124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231F20"/>
            </w:tcBorders>
            <w:vMerge w:val="continue"/>
          </w:tcPr>
          <w:p>
            <w:pPr>
              <w:spacing w:after="0"/>
              <w:rPr>
                <w:sz w:val="15"/>
                <w:szCs w:val="15"/>
                <w:color w:val="auto"/>
              </w:rPr>
            </w:pPr>
          </w:p>
        </w:tc>
        <w:tc>
          <w:tcPr>
            <w:tcW w:w="132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40" w:type="dxa"/>
            <w:vAlign w:val="bottom"/>
            <w:tcBorders>
              <w:left w:val="single" w:sz="8" w:color="231F20"/>
              <w:right w:val="single" w:sz="8" w:color="231F20"/>
            </w:tcBorders>
          </w:tcPr>
          <w:p>
            <w:pPr>
              <w:spacing w:after="0"/>
              <w:rPr>
                <w:sz w:val="21"/>
                <w:szCs w:val="21"/>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10% of the total number of</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1"/>
                <w:szCs w:val="21"/>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940" w:type="dxa"/>
            <w:vAlign w:val="bottom"/>
            <w:tcBorders>
              <w:left w:val="single" w:sz="8" w:color="231F20"/>
              <w:right w:val="single" w:sz="8" w:color="231F20"/>
            </w:tcBorders>
          </w:tcPr>
          <w:p>
            <w:pPr>
              <w:spacing w:after="0"/>
              <w:rPr>
                <w:sz w:val="5"/>
                <w:szCs w:val="5"/>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issued Shares (excluding</w:t>
            </w:r>
          </w:p>
        </w:tc>
        <w:tc>
          <w:tcPr>
            <w:tcW w:w="124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1180" w:type="dxa"/>
            <w:vAlign w:val="bottom"/>
            <w:tcBorders>
              <w:bottom w:val="single" w:sz="8" w:color="231F20"/>
              <w:right w:val="single" w:sz="8" w:color="231F20"/>
            </w:tcBorders>
          </w:tcPr>
          <w:p>
            <w:pPr>
              <w:spacing w:after="0"/>
              <w:rPr>
                <w:sz w:val="5"/>
                <w:szCs w:val="5"/>
                <w:color w:val="auto"/>
              </w:rPr>
            </w:pPr>
          </w:p>
        </w:tc>
        <w:tc>
          <w:tcPr>
            <w:tcW w:w="132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continue"/>
          </w:tcPr>
          <w:p>
            <w:pPr>
              <w:spacing w:after="0"/>
              <w:rPr>
                <w:sz w:val="11"/>
                <w:szCs w:val="11"/>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3,960,769,944</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722,873</w:t>
            </w:r>
          </w:p>
        </w:tc>
        <w:tc>
          <w:tcPr>
            <w:tcW w:w="160" w:type="dxa"/>
            <w:vAlign w:val="bottom"/>
          </w:tcPr>
          <w:p>
            <w:pPr>
              <w:spacing w:after="0"/>
              <w:rPr>
                <w:sz w:val="11"/>
                <w:szCs w:val="11"/>
                <w:color w:val="auto"/>
              </w:rPr>
            </w:pPr>
          </w:p>
        </w:tc>
        <w:tc>
          <w:tcPr>
            <w:tcW w:w="1180" w:type="dxa"/>
            <w:vAlign w:val="bottom"/>
            <w:tcBorders>
              <w:right w:val="single" w:sz="8" w:color="231F20"/>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231F20"/>
                <w:w w:val="95"/>
              </w:rPr>
              <w:t>511,910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8"/>
              </w:rPr>
              <w:t>2,726,863,115</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3,961,492,817</w:t>
            </w: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treasury shares) of the</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(99.981753%)</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(0.018247%)</w:t>
            </w:r>
          </w:p>
        </w:tc>
        <w:tc>
          <w:tcPr>
            <w:tcW w:w="160" w:type="dxa"/>
            <w:vAlign w:val="bottom"/>
          </w:tcPr>
          <w:p>
            <w:pPr>
              <w:spacing w:after="0"/>
              <w:rPr>
                <w:sz w:val="7"/>
                <w:szCs w:val="7"/>
                <w:color w:val="auto"/>
              </w:rPr>
            </w:pPr>
          </w:p>
        </w:tc>
        <w:tc>
          <w:tcPr>
            <w:tcW w:w="1180" w:type="dxa"/>
            <w:vAlign w:val="bottom"/>
            <w:tcBorders>
              <w:right w:val="single" w:sz="8" w:color="231F20"/>
            </w:tcBorders>
            <w:vMerge w:val="restart"/>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Company as of the date of</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passing of this resolution.</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8"/>
                <w:szCs w:val="8"/>
                <w:color w:val="auto"/>
              </w:rPr>
            </w:pPr>
          </w:p>
        </w:tc>
        <w:tc>
          <w:tcPr>
            <w:tcW w:w="1360" w:type="dxa"/>
            <w:vAlign w:val="bottom"/>
            <w:tcBorders>
              <w:right w:val="single" w:sz="8" w:color="231F20"/>
            </w:tcBorders>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right w:val="single" w:sz="8" w:color="231F20"/>
            </w:tcBorders>
          </w:tcPr>
          <w:p>
            <w:pPr>
              <w:spacing w:after="0"/>
              <w:rPr>
                <w:sz w:val="8"/>
                <w:szCs w:val="8"/>
                <w:color w:val="auto"/>
              </w:rPr>
            </w:pPr>
          </w:p>
        </w:tc>
        <w:tc>
          <w:tcPr>
            <w:tcW w:w="132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641"/>
        </w:trPr>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940" w:type="dxa"/>
            <w:vAlign w:val="bottom"/>
            <w:tcBorders>
              <w:top w:val="single" w:sz="8" w:color="231F20"/>
              <w:left w:val="single" w:sz="8" w:color="231F20"/>
            </w:tcBorders>
          </w:tcPr>
          <w:p>
            <w:pPr>
              <w:spacing w:after="0"/>
              <w:rPr>
                <w:sz w:val="24"/>
                <w:szCs w:val="24"/>
                <w:color w:val="auto"/>
              </w:rPr>
            </w:pPr>
          </w:p>
        </w:tc>
        <w:tc>
          <w:tcPr>
            <w:tcW w:w="2360" w:type="dxa"/>
            <w:vAlign w:val="bottom"/>
            <w:tcBorders>
              <w:top w:val="single" w:sz="8" w:color="231F20"/>
            </w:tcBorders>
          </w:tcPr>
          <w:p>
            <w:pPr>
              <w:spacing w:after="0"/>
              <w:rPr>
                <w:sz w:val="24"/>
                <w:szCs w:val="24"/>
                <w:color w:val="auto"/>
              </w:rPr>
            </w:pPr>
          </w:p>
        </w:tc>
        <w:tc>
          <w:tcPr>
            <w:tcW w:w="1240" w:type="dxa"/>
            <w:vAlign w:val="bottom"/>
            <w:tcBorders>
              <w:top w:val="single" w:sz="8" w:color="231F20"/>
              <w:right w:val="single" w:sz="8" w:color="231F20"/>
            </w:tcBorders>
          </w:tcPr>
          <w:p>
            <w:pPr>
              <w:spacing w:after="0"/>
              <w:rPr>
                <w:sz w:val="24"/>
                <w:szCs w:val="24"/>
                <w:color w:val="auto"/>
              </w:rPr>
            </w:pPr>
          </w:p>
        </w:tc>
        <w:tc>
          <w:tcPr>
            <w:tcW w:w="404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 VOTES CAST AND</w:t>
            </w:r>
          </w:p>
        </w:tc>
        <w:tc>
          <w:tcPr>
            <w:tcW w:w="13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tcBorders>
          </w:tcPr>
          <w:p>
            <w:pPr>
              <w:spacing w:after="0"/>
              <w:rPr>
                <w:sz w:val="18"/>
                <w:szCs w:val="18"/>
                <w:color w:val="auto"/>
              </w:rPr>
            </w:pPr>
          </w:p>
        </w:tc>
        <w:tc>
          <w:tcPr>
            <w:tcW w:w="3600" w:type="dxa"/>
            <w:vAlign w:val="bottom"/>
            <w:tcBorders>
              <w:right w:val="single" w:sz="8" w:color="231F20"/>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86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231F20"/>
                <w:w w:val="99"/>
              </w:rPr>
              <w:t>PERCENTAGE (%)</w:t>
            </w: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36"/>
        </w:trPr>
        <w:tc>
          <w:tcPr>
            <w:tcW w:w="940" w:type="dxa"/>
            <w:vAlign w:val="bottom"/>
            <w:tcBorders>
              <w:left w:val="single" w:sz="8" w:color="231F20"/>
            </w:tcBorders>
          </w:tcPr>
          <w:p>
            <w:pPr>
              <w:spacing w:after="0"/>
              <w:rPr>
                <w:sz w:val="3"/>
                <w:szCs w:val="3"/>
                <w:color w:val="auto"/>
              </w:rPr>
            </w:pPr>
          </w:p>
        </w:tc>
        <w:tc>
          <w:tcPr>
            <w:tcW w:w="3600" w:type="dxa"/>
            <w:vAlign w:val="bottom"/>
            <w:tcBorders>
              <w:right w:val="single" w:sz="8" w:color="231F20"/>
            </w:tcBorders>
            <w:gridSpan w:val="2"/>
            <w:vMerge w:val="continue"/>
          </w:tcPr>
          <w:p>
            <w:pPr>
              <w:spacing w:after="0"/>
              <w:rPr>
                <w:sz w:val="3"/>
                <w:szCs w:val="3"/>
                <w:color w:val="auto"/>
              </w:rPr>
            </w:pPr>
          </w:p>
        </w:tc>
        <w:tc>
          <w:tcPr>
            <w:tcW w:w="1340" w:type="dxa"/>
            <w:vAlign w:val="bottom"/>
            <w:tcBorders>
              <w:bottom w:val="single" w:sz="8" w:color="231F20"/>
            </w:tcBorders>
          </w:tcPr>
          <w:p>
            <w:pPr>
              <w:spacing w:after="0"/>
              <w:rPr>
                <w:sz w:val="3"/>
                <w:szCs w:val="3"/>
                <w:color w:val="auto"/>
              </w:rPr>
            </w:pPr>
          </w:p>
        </w:tc>
        <w:tc>
          <w:tcPr>
            <w:tcW w:w="13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VOTES CAST</w:t>
            </w:r>
          </w:p>
        </w:tc>
        <w:tc>
          <w:tcPr>
            <w:tcW w:w="0" w:type="dxa"/>
            <w:vAlign w:val="bottom"/>
          </w:tcPr>
          <w:p>
            <w:pPr>
              <w:spacing w:after="0"/>
              <w:rPr>
                <w:sz w:val="1"/>
                <w:szCs w:val="1"/>
                <w:color w:val="auto"/>
              </w:rPr>
            </w:pPr>
          </w:p>
        </w:tc>
      </w:tr>
      <w:tr>
        <w:trPr>
          <w:trHeight w:val="75"/>
        </w:trPr>
        <w:tc>
          <w:tcPr>
            <w:tcW w:w="940" w:type="dxa"/>
            <w:vAlign w:val="bottom"/>
            <w:tcBorders>
              <w:left w:val="single" w:sz="8" w:color="231F20"/>
            </w:tcBorders>
          </w:tcPr>
          <w:p>
            <w:pPr>
              <w:spacing w:after="0"/>
              <w:rPr>
                <w:sz w:val="6"/>
                <w:szCs w:val="6"/>
                <w:color w:val="auto"/>
              </w:rPr>
            </w:pPr>
          </w:p>
        </w:tc>
        <w:tc>
          <w:tcPr>
            <w:tcW w:w="3600" w:type="dxa"/>
            <w:vAlign w:val="bottom"/>
            <w:tcBorders>
              <w:right w:val="single" w:sz="8" w:color="231F20"/>
            </w:tcBorders>
            <w:gridSpan w:val="2"/>
            <w:vMerge w:val="continue"/>
          </w:tcPr>
          <w:p>
            <w:pPr>
              <w:spacing w:after="0"/>
              <w:rPr>
                <w:sz w:val="6"/>
                <w:szCs w:val="6"/>
                <w:color w:val="auto"/>
              </w:rPr>
            </w:pPr>
          </w:p>
        </w:tc>
        <w:tc>
          <w:tcPr>
            <w:tcW w:w="1340" w:type="dxa"/>
            <w:vAlign w:val="bottom"/>
            <w:tcBorders>
              <w:right w:val="single" w:sz="8" w:color="231F20"/>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36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160" w:type="dxa"/>
            <w:vAlign w:val="bottom"/>
          </w:tcPr>
          <w:p>
            <w:pPr>
              <w:spacing w:after="0"/>
              <w:rPr>
                <w:sz w:val="6"/>
                <w:szCs w:val="6"/>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w w:val="97"/>
              </w:rPr>
              <w:t>ABSTAIN</w:t>
            </w:r>
          </w:p>
        </w:tc>
        <w:tc>
          <w:tcPr>
            <w:tcW w:w="132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40" w:type="dxa"/>
            <w:vAlign w:val="bottom"/>
            <w:tcBorders>
              <w:left w:val="single" w:sz="8" w:color="231F20"/>
            </w:tcBorders>
          </w:tcPr>
          <w:p>
            <w:pPr>
              <w:spacing w:after="0"/>
              <w:rPr>
                <w:sz w:val="7"/>
                <w:szCs w:val="7"/>
                <w:color w:val="auto"/>
              </w:rPr>
            </w:pPr>
          </w:p>
        </w:tc>
        <w:tc>
          <w:tcPr>
            <w:tcW w:w="236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tcBorders>
              <w:left w:val="single" w:sz="8" w:color="231F20"/>
            </w:tcBorders>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231F20"/>
              <w:bottom w:val="single" w:sz="8" w:color="231F20"/>
            </w:tcBorders>
          </w:tcPr>
          <w:p>
            <w:pPr>
              <w:spacing w:after="0"/>
              <w:rPr>
                <w:sz w:val="9"/>
                <w:szCs w:val="9"/>
                <w:color w:val="auto"/>
              </w:rPr>
            </w:pPr>
          </w:p>
        </w:tc>
        <w:tc>
          <w:tcPr>
            <w:tcW w:w="2360" w:type="dxa"/>
            <w:vAlign w:val="bottom"/>
            <w:tcBorders>
              <w:bottom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1360" w:type="dxa"/>
            <w:vAlign w:val="bottom"/>
            <w:tcBorders>
              <w:bottom w:val="single" w:sz="8" w:color="231F20"/>
              <w:right w:val="single" w:sz="8" w:color="231F20"/>
            </w:tcBorders>
          </w:tcPr>
          <w:p>
            <w:pPr>
              <w:spacing w:after="0"/>
              <w:rPr>
                <w:sz w:val="9"/>
                <w:szCs w:val="9"/>
                <w:color w:val="auto"/>
              </w:rPr>
            </w:pPr>
          </w:p>
        </w:tc>
        <w:tc>
          <w:tcPr>
            <w:tcW w:w="160" w:type="dxa"/>
            <w:vAlign w:val="bottom"/>
            <w:tcBorders>
              <w:bottom w:val="single" w:sz="8" w:color="231F20"/>
            </w:tcBorders>
          </w:tcPr>
          <w:p>
            <w:pPr>
              <w:spacing w:after="0"/>
              <w:rPr>
                <w:sz w:val="9"/>
                <w:szCs w:val="9"/>
                <w:color w:val="auto"/>
              </w:rPr>
            </w:pPr>
          </w:p>
        </w:tc>
        <w:tc>
          <w:tcPr>
            <w:tcW w:w="1180" w:type="dxa"/>
            <w:vAlign w:val="bottom"/>
            <w:tcBorders>
              <w:bottom w:val="single" w:sz="8" w:color="231F20"/>
              <w:right w:val="single" w:sz="8" w:color="231F20"/>
            </w:tcBorders>
          </w:tcPr>
          <w:p>
            <w:pPr>
              <w:spacing w:after="0"/>
              <w:rPr>
                <w:sz w:val="9"/>
                <w:szCs w:val="9"/>
                <w:color w:val="auto"/>
              </w:rPr>
            </w:pPr>
          </w:p>
        </w:tc>
        <w:tc>
          <w:tcPr>
            <w:tcW w:w="1320" w:type="dxa"/>
            <w:vAlign w:val="bottom"/>
            <w:tcBorders>
              <w:bottom w:val="single" w:sz="8" w:color="231F20"/>
              <w:right w:val="single" w:sz="8" w:color="231F20"/>
            </w:tcBorders>
            <w:vMerge w:val="continue"/>
          </w:tcPr>
          <w:p>
            <w:pPr>
              <w:spacing w:after="0"/>
              <w:rPr>
                <w:sz w:val="9"/>
                <w:szCs w:val="9"/>
                <w:color w:val="auto"/>
              </w:rPr>
            </w:pPr>
          </w:p>
        </w:tc>
        <w:tc>
          <w:tcPr>
            <w:tcW w:w="134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jc w:val="right"/>
              <w:ind w:right="590"/>
              <w:spacing w:after="0"/>
              <w:rPr>
                <w:sz w:val="20"/>
                <w:szCs w:val="20"/>
                <w:color w:val="auto"/>
              </w:rPr>
            </w:pPr>
            <w:r>
              <w:rPr>
                <w:rFonts w:ascii="Times New Roman" w:cs="Times New Roman" w:eastAsia="Times New Roman" w:hAnsi="Times New Roman"/>
                <w:sz w:val="18"/>
                <w:szCs w:val="18"/>
                <w:color w:val="231F20"/>
              </w:rPr>
              <w:t>6.</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extend the general mandate</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2,002,630,909</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563,194,679</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12,330,959</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2,565,825,588</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2,565,825,588</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granted to the Directors to</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(78.050157%)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(21.949843%)</w:t>
            </w:r>
          </w:p>
        </w:tc>
        <w:tc>
          <w:tcPr>
            <w:tcW w:w="160" w:type="dxa"/>
            <w:vAlign w:val="bottom"/>
          </w:tcPr>
          <w:p>
            <w:pPr>
              <w:spacing w:after="0"/>
              <w:rPr>
                <w:sz w:val="18"/>
                <w:szCs w:val="18"/>
                <w:color w:val="auto"/>
              </w:rPr>
            </w:pPr>
          </w:p>
        </w:tc>
        <w:tc>
          <w:tcPr>
            <w:tcW w:w="118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issue, allot, and deal with</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1,371,810,780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8"/>
                <w:szCs w:val="8"/>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1,371,810,780</w:t>
            </w:r>
          </w:p>
        </w:tc>
        <w:tc>
          <w:tcPr>
            <w:tcW w:w="0" w:type="dxa"/>
            <w:vAlign w:val="bottom"/>
          </w:tcPr>
          <w:p>
            <w:pPr>
              <w:spacing w:after="0"/>
              <w:rPr>
                <w:sz w:val="1"/>
                <w:szCs w:val="1"/>
                <w:color w:val="auto"/>
              </w:rPr>
            </w:pPr>
          </w:p>
        </w:tc>
      </w:tr>
      <w:tr>
        <w:trPr>
          <w:trHeight w:val="180"/>
        </w:trPr>
        <w:tc>
          <w:tcPr>
            <w:tcW w:w="940" w:type="dxa"/>
            <w:vAlign w:val="bottom"/>
            <w:tcBorders>
              <w:left w:val="single" w:sz="8" w:color="231F20"/>
              <w:right w:val="single" w:sz="8" w:color="231F20"/>
            </w:tcBorders>
          </w:tcPr>
          <w:p>
            <w:pPr>
              <w:spacing w:after="0"/>
              <w:rPr>
                <w:sz w:val="15"/>
                <w:szCs w:val="15"/>
                <w:color w:val="auto"/>
              </w:rPr>
            </w:pPr>
          </w:p>
        </w:tc>
        <w:tc>
          <w:tcPr>
            <w:tcW w:w="2360" w:type="dxa"/>
            <w:vAlign w:val="bottom"/>
            <w:tcBorders>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8"/>
                <w:szCs w:val="18"/>
                <w:color w:val="231F20"/>
              </w:rPr>
              <w:t>additional Shares in the share</w:t>
            </w:r>
          </w:p>
        </w:tc>
        <w:tc>
          <w:tcPr>
            <w:tcW w:w="124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231F20"/>
            </w:tcBorders>
            <w:vMerge w:val="continue"/>
          </w:tcPr>
          <w:p>
            <w:pPr>
              <w:spacing w:after="0"/>
              <w:rPr>
                <w:sz w:val="15"/>
                <w:szCs w:val="15"/>
                <w:color w:val="auto"/>
              </w:rPr>
            </w:pPr>
          </w:p>
        </w:tc>
        <w:tc>
          <w:tcPr>
            <w:tcW w:w="132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40" w:type="dxa"/>
            <w:vAlign w:val="bottom"/>
            <w:tcBorders>
              <w:left w:val="single" w:sz="8" w:color="231F20"/>
              <w:right w:val="single" w:sz="8" w:color="231F20"/>
            </w:tcBorders>
          </w:tcPr>
          <w:p>
            <w:pPr>
              <w:spacing w:after="0"/>
              <w:rPr>
                <w:sz w:val="21"/>
                <w:szCs w:val="21"/>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capital of the Company by the</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1"/>
                <w:szCs w:val="21"/>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940" w:type="dxa"/>
            <w:vAlign w:val="bottom"/>
            <w:tcBorders>
              <w:left w:val="single" w:sz="8" w:color="231F20"/>
              <w:right w:val="single" w:sz="8" w:color="231F20"/>
            </w:tcBorders>
          </w:tcPr>
          <w:p>
            <w:pPr>
              <w:spacing w:after="0"/>
              <w:rPr>
                <w:sz w:val="5"/>
                <w:szCs w:val="5"/>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aggregate number of the</w:t>
            </w:r>
          </w:p>
        </w:tc>
        <w:tc>
          <w:tcPr>
            <w:tcW w:w="124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1180" w:type="dxa"/>
            <w:vAlign w:val="bottom"/>
            <w:tcBorders>
              <w:bottom w:val="single" w:sz="8" w:color="231F20"/>
              <w:right w:val="single" w:sz="8" w:color="231F20"/>
            </w:tcBorders>
          </w:tcPr>
          <w:p>
            <w:pPr>
              <w:spacing w:after="0"/>
              <w:rPr>
                <w:sz w:val="5"/>
                <w:szCs w:val="5"/>
                <w:color w:val="auto"/>
              </w:rPr>
            </w:pPr>
          </w:p>
        </w:tc>
        <w:tc>
          <w:tcPr>
            <w:tcW w:w="132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continue"/>
          </w:tcPr>
          <w:p>
            <w:pPr>
              <w:spacing w:after="0"/>
              <w:rPr>
                <w:sz w:val="11"/>
                <w:szCs w:val="11"/>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3,374,441,689</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563,194,679</w:t>
            </w:r>
          </w:p>
        </w:tc>
        <w:tc>
          <w:tcPr>
            <w:tcW w:w="160" w:type="dxa"/>
            <w:vAlign w:val="bottom"/>
          </w:tcPr>
          <w:p>
            <w:pPr>
              <w:spacing w:after="0"/>
              <w:rPr>
                <w:sz w:val="11"/>
                <w:szCs w:val="11"/>
                <w:color w:val="auto"/>
              </w:rPr>
            </w:pPr>
          </w:p>
        </w:tc>
        <w:tc>
          <w:tcPr>
            <w:tcW w:w="1180" w:type="dxa"/>
            <w:vAlign w:val="bottom"/>
            <w:tcBorders>
              <w:right w:val="single" w:sz="8" w:color="231F20"/>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231F20"/>
              </w:rPr>
              <w:t>12,330,959</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8"/>
              </w:rPr>
              <w:t>2,703,006,666</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3,937,636,368</w:t>
            </w: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Shares and/ or Shares</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(85.697138%)</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(14.302862%)</w:t>
            </w:r>
          </w:p>
        </w:tc>
        <w:tc>
          <w:tcPr>
            <w:tcW w:w="160" w:type="dxa"/>
            <w:vAlign w:val="bottom"/>
          </w:tcPr>
          <w:p>
            <w:pPr>
              <w:spacing w:after="0"/>
              <w:rPr>
                <w:sz w:val="7"/>
                <w:szCs w:val="7"/>
                <w:color w:val="auto"/>
              </w:rPr>
            </w:pPr>
          </w:p>
        </w:tc>
        <w:tc>
          <w:tcPr>
            <w:tcW w:w="1180" w:type="dxa"/>
            <w:vAlign w:val="bottom"/>
            <w:tcBorders>
              <w:right w:val="single" w:sz="8" w:color="231F20"/>
            </w:tcBorders>
            <w:vMerge w:val="restart"/>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underlying the ADSs</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repurchased by the Company.</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8"/>
                <w:szCs w:val="8"/>
                <w:color w:val="auto"/>
              </w:rPr>
            </w:pPr>
          </w:p>
        </w:tc>
        <w:tc>
          <w:tcPr>
            <w:tcW w:w="1360" w:type="dxa"/>
            <w:vAlign w:val="bottom"/>
            <w:tcBorders>
              <w:right w:val="single" w:sz="8" w:color="231F20"/>
            </w:tcBorders>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right w:val="single" w:sz="8" w:color="231F20"/>
            </w:tcBorders>
          </w:tcPr>
          <w:p>
            <w:pPr>
              <w:spacing w:after="0"/>
              <w:rPr>
                <w:sz w:val="8"/>
                <w:szCs w:val="8"/>
                <w:color w:val="auto"/>
              </w:rPr>
            </w:pPr>
          </w:p>
        </w:tc>
        <w:tc>
          <w:tcPr>
            <w:tcW w:w="132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jc w:val="right"/>
              <w:ind w:right="590"/>
              <w:spacing w:after="0"/>
              <w:rPr>
                <w:sz w:val="20"/>
                <w:szCs w:val="20"/>
                <w:color w:val="auto"/>
              </w:rPr>
            </w:pPr>
            <w:r>
              <w:rPr>
                <w:rFonts w:ascii="Times New Roman" w:cs="Times New Roman" w:eastAsia="Times New Roman" w:hAnsi="Times New Roman"/>
                <w:sz w:val="18"/>
                <w:szCs w:val="18"/>
                <w:color w:val="231F20"/>
              </w:rPr>
              <w:t>7.</w:t>
            </w: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re-appoint</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2,357,365,258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232,365,157</w:t>
            </w:r>
          </w:p>
        </w:tc>
        <w:tc>
          <w:tcPr>
            <w:tcW w:w="160" w:type="dxa"/>
            <w:vAlign w:val="bottom"/>
          </w:tcPr>
          <w:p>
            <w:pPr>
              <w:spacing w:after="0"/>
              <w:rPr>
                <w:sz w:val="23"/>
                <w:szCs w:val="23"/>
                <w:color w:val="auto"/>
              </w:rPr>
            </w:pPr>
          </w:p>
        </w:tc>
        <w:tc>
          <w:tcPr>
            <w:tcW w:w="118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8"/>
                <w:szCs w:val="18"/>
                <w:color w:val="231F20"/>
                <w:w w:val="99"/>
              </w:rPr>
              <w:t>463,235</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2,589,730,415</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2,589,730,415</w:t>
            </w: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PricewaterhouseCoopers and</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(91.027438%)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(8.972562%)</w:t>
            </w:r>
          </w:p>
        </w:tc>
        <w:tc>
          <w:tcPr>
            <w:tcW w:w="160" w:type="dxa"/>
            <w:vAlign w:val="bottom"/>
          </w:tcPr>
          <w:p>
            <w:pPr>
              <w:spacing w:after="0"/>
              <w:rPr>
                <w:sz w:val="18"/>
                <w:szCs w:val="18"/>
                <w:color w:val="auto"/>
              </w:rPr>
            </w:pPr>
          </w:p>
        </w:tc>
        <w:tc>
          <w:tcPr>
            <w:tcW w:w="118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PricewaterhouseCoopers</w:t>
            </w:r>
          </w:p>
        </w:tc>
        <w:tc>
          <w:tcPr>
            <w:tcW w:w="124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1180" w:type="dxa"/>
            <w:vAlign w:val="bottom"/>
            <w:tcBorders>
              <w:bottom w:val="single" w:sz="8" w:color="231F20"/>
              <w:right w:val="single" w:sz="8" w:color="231F20"/>
            </w:tcBorders>
          </w:tcPr>
          <w:p>
            <w:pPr>
              <w:spacing w:after="0"/>
              <w:rPr>
                <w:sz w:val="8"/>
                <w:szCs w:val="8"/>
                <w:color w:val="auto"/>
              </w:rPr>
            </w:pPr>
          </w:p>
        </w:tc>
        <w:tc>
          <w:tcPr>
            <w:tcW w:w="132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137,181,078</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8"/>
                <w:szCs w:val="8"/>
                <w:color w:val="auto"/>
              </w:rPr>
            </w:pPr>
          </w:p>
        </w:tc>
        <w:tc>
          <w:tcPr>
            <w:tcW w:w="1180" w:type="dxa"/>
            <w:vAlign w:val="bottom"/>
            <w:tcBorders>
              <w:right w:val="single" w:sz="8" w:color="231F20"/>
            </w:tcBorders>
            <w:vMerge w:val="restart"/>
          </w:tcPr>
          <w:p>
            <w:pPr>
              <w:jc w:val="center"/>
              <w:ind w:right="150"/>
              <w:spacing w:after="0"/>
              <w:rPr>
                <w:sz w:val="20"/>
                <w:szCs w:val="20"/>
                <w:color w:val="auto"/>
              </w:rPr>
            </w:pPr>
            <w:r>
              <w:rPr>
                <w:rFonts w:ascii="Times New Roman" w:cs="Times New Roman" w:eastAsia="Times New Roman" w:hAnsi="Times New Roman"/>
                <w:sz w:val="18"/>
                <w:szCs w:val="18"/>
                <w:color w:val="231F20"/>
              </w:rPr>
              <w:t>0</w:t>
            </w:r>
          </w:p>
        </w:tc>
        <w:tc>
          <w:tcPr>
            <w:tcW w:w="13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137,181,078</w:t>
            </w:r>
          </w:p>
        </w:tc>
        <w:tc>
          <w:tcPr>
            <w:tcW w:w="0" w:type="dxa"/>
            <w:vAlign w:val="bottom"/>
          </w:tcPr>
          <w:p>
            <w:pPr>
              <w:spacing w:after="0"/>
              <w:rPr>
                <w:sz w:val="1"/>
                <w:szCs w:val="1"/>
                <w:color w:val="auto"/>
              </w:rPr>
            </w:pPr>
          </w:p>
        </w:tc>
      </w:tr>
      <w:tr>
        <w:trPr>
          <w:trHeight w:val="180"/>
        </w:trPr>
        <w:tc>
          <w:tcPr>
            <w:tcW w:w="940" w:type="dxa"/>
            <w:vAlign w:val="bottom"/>
            <w:tcBorders>
              <w:left w:val="single" w:sz="8" w:color="231F20"/>
              <w:right w:val="single" w:sz="8" w:color="231F20"/>
            </w:tcBorders>
          </w:tcPr>
          <w:p>
            <w:pPr>
              <w:spacing w:after="0"/>
              <w:rPr>
                <w:sz w:val="15"/>
                <w:szCs w:val="15"/>
                <w:color w:val="auto"/>
              </w:rPr>
            </w:pPr>
          </w:p>
        </w:tc>
        <w:tc>
          <w:tcPr>
            <w:tcW w:w="2360" w:type="dxa"/>
            <w:vAlign w:val="bottom"/>
            <w:tcBorders>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8"/>
                <w:szCs w:val="18"/>
                <w:color w:val="231F20"/>
              </w:rPr>
              <w:t>Zhong Tian LLP as auditors of</w:t>
            </w:r>
          </w:p>
        </w:tc>
        <w:tc>
          <w:tcPr>
            <w:tcW w:w="124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231F20"/>
            </w:tcBorders>
            <w:vMerge w:val="continue"/>
          </w:tcPr>
          <w:p>
            <w:pPr>
              <w:spacing w:after="0"/>
              <w:rPr>
                <w:sz w:val="15"/>
                <w:szCs w:val="15"/>
                <w:color w:val="auto"/>
              </w:rPr>
            </w:pPr>
          </w:p>
        </w:tc>
        <w:tc>
          <w:tcPr>
            <w:tcW w:w="1320" w:type="dxa"/>
            <w:vAlign w:val="bottom"/>
            <w:tcBorders>
              <w:right w:val="single" w:sz="8" w:color="231F20"/>
            </w:tcBorders>
            <w:vMerge w:val="continue"/>
          </w:tcPr>
          <w:p>
            <w:pPr>
              <w:spacing w:after="0"/>
              <w:rPr>
                <w:sz w:val="15"/>
                <w:szCs w:val="15"/>
                <w:color w:val="auto"/>
              </w:rPr>
            </w:pPr>
          </w:p>
        </w:tc>
        <w:tc>
          <w:tcPr>
            <w:tcW w:w="13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40" w:type="dxa"/>
            <w:vAlign w:val="bottom"/>
            <w:tcBorders>
              <w:left w:val="single" w:sz="8" w:color="231F20"/>
              <w:right w:val="single" w:sz="8" w:color="231F20"/>
            </w:tcBorders>
          </w:tcPr>
          <w:p>
            <w:pPr>
              <w:spacing w:after="0"/>
              <w:rPr>
                <w:sz w:val="21"/>
                <w:szCs w:val="21"/>
                <w:color w:val="auto"/>
              </w:rPr>
            </w:pPr>
          </w:p>
        </w:tc>
        <w:tc>
          <w:tcPr>
            <w:tcW w:w="23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the Company to hold office</w:t>
            </w: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w w:val="99"/>
              </w:rPr>
              <w:t>ordinary shares</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1"/>
                <w:szCs w:val="21"/>
                <w:color w:val="auto"/>
              </w:rPr>
            </w:pPr>
          </w:p>
        </w:tc>
        <w:tc>
          <w:tcPr>
            <w:tcW w:w="1180" w:type="dxa"/>
            <w:vAlign w:val="bottom"/>
            <w:tcBorders>
              <w:right w:val="single" w:sz="8" w:color="231F20"/>
            </w:tcBorders>
          </w:tcPr>
          <w:p>
            <w:pPr>
              <w:jc w:val="center"/>
              <w:ind w:right="11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940" w:type="dxa"/>
            <w:vAlign w:val="bottom"/>
            <w:tcBorders>
              <w:left w:val="single" w:sz="8" w:color="231F20"/>
              <w:right w:val="single" w:sz="8" w:color="231F20"/>
            </w:tcBorders>
          </w:tcPr>
          <w:p>
            <w:pPr>
              <w:spacing w:after="0"/>
              <w:rPr>
                <w:sz w:val="5"/>
                <w:szCs w:val="5"/>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until the conclusion of the next</w:t>
            </w:r>
          </w:p>
        </w:tc>
        <w:tc>
          <w:tcPr>
            <w:tcW w:w="124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1180" w:type="dxa"/>
            <w:vAlign w:val="bottom"/>
            <w:tcBorders>
              <w:bottom w:val="single" w:sz="8" w:color="231F20"/>
              <w:right w:val="single" w:sz="8" w:color="231F20"/>
            </w:tcBorders>
          </w:tcPr>
          <w:p>
            <w:pPr>
              <w:spacing w:after="0"/>
              <w:rPr>
                <w:sz w:val="5"/>
                <w:szCs w:val="5"/>
                <w:color w:val="auto"/>
              </w:rPr>
            </w:pPr>
          </w:p>
        </w:tc>
        <w:tc>
          <w:tcPr>
            <w:tcW w:w="1320" w:type="dxa"/>
            <w:vAlign w:val="bottom"/>
            <w:tcBorders>
              <w:bottom w:val="single" w:sz="8" w:color="231F20"/>
              <w:right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vMerge w:val="continue"/>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TOTAL</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2,494,546,336</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232,365,157</w:t>
            </w:r>
          </w:p>
        </w:tc>
        <w:tc>
          <w:tcPr>
            <w:tcW w:w="160" w:type="dxa"/>
            <w:vAlign w:val="bottom"/>
          </w:tcPr>
          <w:p>
            <w:pPr>
              <w:spacing w:after="0"/>
              <w:rPr>
                <w:sz w:val="20"/>
                <w:szCs w:val="20"/>
                <w:color w:val="auto"/>
              </w:rPr>
            </w:pPr>
          </w:p>
        </w:tc>
        <w:tc>
          <w:tcPr>
            <w:tcW w:w="118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8"/>
                <w:szCs w:val="18"/>
                <w:color w:val="231F20"/>
                <w:w w:val="99"/>
              </w:rPr>
              <w:t>463,235</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2,726,911,493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2,726,911,493</w:t>
            </w: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ind w:left="80"/>
              <w:spacing w:after="0" w:line="117" w:lineRule="exact"/>
              <w:rPr>
                <w:sz w:val="20"/>
                <w:szCs w:val="20"/>
                <w:color w:val="auto"/>
              </w:rPr>
            </w:pPr>
            <w:r>
              <w:rPr>
                <w:rFonts w:ascii="Times New Roman" w:cs="Times New Roman" w:eastAsia="Times New Roman" w:hAnsi="Times New Roman"/>
                <w:sz w:val="13"/>
                <w:szCs w:val="13"/>
                <w:color w:val="231F20"/>
              </w:rPr>
              <w:t>annual general meeting of the</w:t>
            </w: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NUMBER</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(91.478816%)</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(8.521184%)</w:t>
            </w:r>
          </w:p>
        </w:tc>
        <w:tc>
          <w:tcPr>
            <w:tcW w:w="160" w:type="dxa"/>
            <w:vAlign w:val="bottom"/>
          </w:tcPr>
          <w:p>
            <w:pPr>
              <w:spacing w:after="0"/>
              <w:rPr>
                <w:sz w:val="10"/>
                <w:szCs w:val="10"/>
                <w:color w:val="auto"/>
              </w:rPr>
            </w:pPr>
          </w:p>
        </w:tc>
        <w:tc>
          <w:tcPr>
            <w:tcW w:w="1180" w:type="dxa"/>
            <w:vAlign w:val="bottom"/>
            <w:tcBorders>
              <w:right w:val="single" w:sz="8" w:color="231F20"/>
            </w:tcBorders>
            <w:vMerge w:val="restart"/>
          </w:tcPr>
          <w:p>
            <w:pPr>
              <w:ind w:left="36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Company and to authorize the</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vMerge w:val="continue"/>
          </w:tcPr>
          <w:p>
            <w:pPr>
              <w:spacing w:after="0"/>
              <w:rPr>
                <w:sz w:val="11"/>
                <w:szCs w:val="11"/>
                <w:color w:val="auto"/>
              </w:rPr>
            </w:pPr>
          </w:p>
        </w:tc>
        <w:tc>
          <w:tcPr>
            <w:tcW w:w="1360" w:type="dxa"/>
            <w:vAlign w:val="bottom"/>
            <w:tcBorders>
              <w:right w:val="single" w:sz="8" w:color="231F20"/>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A</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Board to fix their</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remuneration for the year</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right w:val="single" w:sz="8" w:color="231F20"/>
            </w:tcBorders>
          </w:tcPr>
          <w:p>
            <w:pPr>
              <w:spacing w:after="0"/>
              <w:rPr>
                <w:sz w:val="7"/>
                <w:szCs w:val="7"/>
                <w:color w:val="auto"/>
              </w:rPr>
            </w:pPr>
          </w:p>
        </w:tc>
        <w:tc>
          <w:tcPr>
            <w:tcW w:w="2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SHARES &amp;</w:t>
            </w:r>
          </w:p>
        </w:tc>
        <w:tc>
          <w:tcPr>
            <w:tcW w:w="134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Borders>
              <w:right w:val="single" w:sz="8" w:color="231F20"/>
            </w:tcBorders>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231F20"/>
              <w:right w:val="single" w:sz="8" w:color="231F20"/>
            </w:tcBorders>
          </w:tcPr>
          <w:p>
            <w:pPr>
              <w:spacing w:after="0"/>
              <w:rPr>
                <w:sz w:val="11"/>
                <w:szCs w:val="11"/>
                <w:color w:val="auto"/>
              </w:rPr>
            </w:pPr>
          </w:p>
        </w:tc>
        <w:tc>
          <w:tcPr>
            <w:tcW w:w="23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ending December 31, 2026.</w:t>
            </w:r>
          </w:p>
        </w:tc>
        <w:tc>
          <w:tcPr>
            <w:tcW w:w="1240" w:type="dxa"/>
            <w:vAlign w:val="bottom"/>
            <w:tcBorders>
              <w:right w:val="single" w:sz="8" w:color="231F20"/>
            </w:tcBorders>
            <w:vMerge w:val="continue"/>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132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40" w:type="dxa"/>
            <w:vAlign w:val="bottom"/>
            <w:tcBorders>
              <w:left w:val="single" w:sz="8" w:color="231F20"/>
              <w:right w:val="single" w:sz="8" w:color="231F20"/>
            </w:tcBorders>
          </w:tcPr>
          <w:p>
            <w:pPr>
              <w:spacing w:after="0"/>
              <w:rPr>
                <w:sz w:val="8"/>
                <w:szCs w:val="8"/>
                <w:color w:val="auto"/>
              </w:rPr>
            </w:pPr>
          </w:p>
        </w:tc>
        <w:tc>
          <w:tcPr>
            <w:tcW w:w="2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231F20"/>
              </w:rPr>
              <w:t>CLASS B</w:t>
            </w:r>
          </w:p>
        </w:tc>
        <w:tc>
          <w:tcPr>
            <w:tcW w:w="1340" w:type="dxa"/>
            <w:vAlign w:val="bottom"/>
            <w:tcBorders>
              <w:right w:val="single" w:sz="8" w:color="231F20"/>
            </w:tcBorders>
          </w:tcPr>
          <w:p>
            <w:pPr>
              <w:spacing w:after="0"/>
              <w:rPr>
                <w:sz w:val="8"/>
                <w:szCs w:val="8"/>
                <w:color w:val="auto"/>
              </w:rPr>
            </w:pPr>
          </w:p>
        </w:tc>
        <w:tc>
          <w:tcPr>
            <w:tcW w:w="1360" w:type="dxa"/>
            <w:vAlign w:val="bottom"/>
            <w:tcBorders>
              <w:right w:val="single" w:sz="8" w:color="231F20"/>
            </w:tcBorders>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right w:val="single" w:sz="8" w:color="231F20"/>
            </w:tcBorders>
          </w:tcPr>
          <w:p>
            <w:pPr>
              <w:spacing w:after="0"/>
              <w:rPr>
                <w:sz w:val="8"/>
                <w:szCs w:val="8"/>
                <w:color w:val="auto"/>
              </w:rPr>
            </w:pPr>
          </w:p>
        </w:tc>
        <w:tc>
          <w:tcPr>
            <w:tcW w:w="132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Borders>
              <w:left w:val="single" w:sz="8" w:color="231F20"/>
              <w:right w:val="single" w:sz="8" w:color="231F20"/>
            </w:tcBorders>
          </w:tcPr>
          <w:p>
            <w:pPr>
              <w:spacing w:after="0"/>
              <w:rPr>
                <w:sz w:val="10"/>
                <w:szCs w:val="10"/>
                <w:color w:val="auto"/>
              </w:rPr>
            </w:pPr>
          </w:p>
        </w:tc>
        <w:tc>
          <w:tcPr>
            <w:tcW w:w="23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132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231F20"/>
              <w:right w:val="single" w:sz="8" w:color="231F20"/>
            </w:tcBorders>
          </w:tcPr>
          <w:p>
            <w:pPr>
              <w:spacing w:after="0"/>
              <w:rPr>
                <w:sz w:val="18"/>
                <w:szCs w:val="18"/>
                <w:color w:val="auto"/>
              </w:rPr>
            </w:pPr>
          </w:p>
        </w:tc>
        <w:tc>
          <w:tcPr>
            <w:tcW w:w="2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ORDINARY</w:t>
            </w:r>
          </w:p>
        </w:tc>
        <w:tc>
          <w:tcPr>
            <w:tcW w:w="134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2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w:t>
            </w:r>
          </w:p>
        </w:tc>
        <w:tc>
          <w:tcPr>
            <w:tcW w:w="134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gridSpan w:val="2"/>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940" w:type="dxa"/>
            <w:vAlign w:val="bottom"/>
            <w:tcBorders>
              <w:left w:val="single" w:sz="8" w:color="231F20"/>
              <w:right w:val="single" w:sz="8" w:color="231F20"/>
            </w:tcBorders>
          </w:tcPr>
          <w:p>
            <w:pPr>
              <w:spacing w:after="0"/>
              <w:rPr>
                <w:sz w:val="23"/>
                <w:szCs w:val="23"/>
                <w:color w:val="auto"/>
              </w:rPr>
            </w:pPr>
          </w:p>
        </w:tc>
        <w:tc>
          <w:tcPr>
            <w:tcW w:w="10300" w:type="dxa"/>
            <w:vAlign w:val="bottom"/>
            <w:tcBorders>
              <w:right w:val="single" w:sz="8" w:color="231F20"/>
            </w:tcBorders>
            <w:gridSpan w:val="8"/>
          </w:tcPr>
          <w:p>
            <w:pPr>
              <w:ind w:left="80"/>
              <w:spacing w:after="0"/>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940" w:type="dxa"/>
            <w:vAlign w:val="bottom"/>
            <w:tcBorders>
              <w:left w:val="single" w:sz="8" w:color="231F20"/>
              <w:right w:val="single" w:sz="8" w:color="231F20"/>
            </w:tcBorders>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231F20"/>
              <w:bottom w:val="single" w:sz="8" w:color="231F20"/>
              <w:right w:val="single" w:sz="8" w:color="231F20"/>
            </w:tcBorders>
          </w:tcPr>
          <w:p>
            <w:pPr>
              <w:spacing w:after="0"/>
              <w:rPr>
                <w:sz w:val="7"/>
                <w:szCs w:val="7"/>
                <w:color w:val="auto"/>
              </w:rPr>
            </w:pPr>
          </w:p>
        </w:tc>
        <w:tc>
          <w:tcPr>
            <w:tcW w:w="236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340" w:type="dxa"/>
            <w:vAlign w:val="bottom"/>
            <w:tcBorders>
              <w:bottom w:val="single" w:sz="8" w:color="231F20"/>
            </w:tcBorders>
          </w:tcPr>
          <w:p>
            <w:pPr>
              <w:spacing w:after="0"/>
              <w:rPr>
                <w:sz w:val="7"/>
                <w:szCs w:val="7"/>
                <w:color w:val="auto"/>
              </w:rPr>
            </w:pPr>
          </w:p>
        </w:tc>
        <w:tc>
          <w:tcPr>
            <w:tcW w:w="13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18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3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641"/>
        </w:trPr>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Company’s share registrar in Hong Kong, Computershare Hong Kong Investor Services Limited, acted as the scrutineer for the vote-taking at the AGM.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All directors of the Company, namely Mr. Yongdong Peng, Mr. Yigang Shan, Mr. Wangang Xu, Mr. Tao Xu, Mr. Jeffrey Zhaohui Li, Ms. Xiaohong Chen, Mr. Hansong Zhu and Mr. Jun Wu attended the AGM, either in person or by electronic means.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231F20"/>
        </w:rPr>
        <w:t>As the corporate name of Harneys Fiduciary (Cayman) Limited (“</w:t>
      </w:r>
      <w:r>
        <w:rPr>
          <w:rFonts w:ascii="Times New Roman" w:cs="Times New Roman" w:eastAsia="Times New Roman" w:hAnsi="Times New Roman"/>
          <w:sz w:val="18"/>
          <w:szCs w:val="18"/>
          <w:b w:val="1"/>
          <w:bCs w:val="1"/>
          <w:color w:val="231F20"/>
        </w:rPr>
        <w:t>Harneys Fiduciary</w:t>
      </w:r>
      <w:r>
        <w:rPr>
          <w:rFonts w:ascii="Times New Roman" w:cs="Times New Roman" w:eastAsia="Times New Roman" w:hAnsi="Times New Roman"/>
          <w:sz w:val="18"/>
          <w:szCs w:val="18"/>
          <w:color w:val="231F20"/>
        </w:rPr>
        <w:t>”) has been changed to Ascentium (Cayman) Limited, the reference to Harneys Fiduciary in the Company’s corporate documents will be updated accordingly.</w:t>
      </w:r>
    </w:p>
    <w:p>
      <w:pPr>
        <w:spacing w:after="0" w:line="15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231F20"/>
        </w:rPr>
        <w:t>KE Holdings Inc.</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231F20"/>
        </w:rPr>
        <w:t>Yongdong Peng</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231F20"/>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June 12,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of directors of the Company comprises Mr. Yongdong Peng, Mr. Yigang Shan, Mr. Wangang Xu and Mr. Tao Xu as executive directors, Mr. Jeffrey Zhaohui Li as a non-executive director, and Ms. Xiaohong Chen, Mr. Hansong Zhu and Mr. Jun Wu as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1."/>
      <w:numFmt w:val="decimal"/>
      <w:start w:val="2"/>
    </w:lvl>
    <w:lvl w:ilvl="1">
      <w:lvlJc w:val="left"/>
      <w:lvlText w:val="(%2)"/>
      <w:numFmt w:val="lowerLetter"/>
      <w:start w:val="1"/>
    </w:lvl>
  </w:abstractNum>
  <w:abstractNum w:abstractNumId="3">
    <w:nsid w:val="7A6D8D3C"/>
    <w:multiLevelType w:val="hybridMultilevel"/>
    <w:lvl w:ilvl="0">
      <w:lvlJc w:val="left"/>
      <w:lvlText w:val="(%1)"/>
      <w:numFmt w:val="lowerLetter"/>
      <w:start w:val="4"/>
    </w:lvl>
  </w:abstractNum>
  <w:abstractNum w:abstractNumId="4">
    <w:nsid w:val="4B588F54"/>
    <w:multiLevelType w:val="hybridMultilevel"/>
    <w:lvl w:ilvl="0">
      <w:lvlJc w:val="left"/>
      <w:lvlText w:val="%1."/>
      <w:numFmt w:val="decimal"/>
      <w:start w:val="3"/>
    </w:lvl>
  </w:abstractNum>
  <w:abstractNum w:abstractNumId="5">
    <w:nsid w:val="542289EC"/>
    <w:multiLevelType w:val="hybridMultilevel"/>
    <w:lvl w:ilvl="0">
      <w:lvlJc w:val="left"/>
      <w:lvlText w:val="%1."/>
      <w:numFmt w:val="decimal"/>
      <w:start w:val="4"/>
    </w:lvl>
  </w:abstractNum>
  <w:abstractNum w:abstractNumId="6">
    <w:nsid w:val="6DE91B18"/>
    <w:multiLevelType w:val="hybridMultilevel"/>
    <w:lvl w:ilvl="0">
      <w:lvlJc w:val="left"/>
      <w:lvlText w:val="%1."/>
      <w:numFmt w:val="decimal"/>
      <w:start w:val="8"/>
    </w:lvl>
    <w:lvl w:ilvl="1">
      <w:lvlJc w:val="left"/>
      <w:lvlText w:val="(%2)"/>
      <w:numFmt w:val="lowerLetter"/>
      <w:start w:val="1"/>
    </w:lvl>
  </w:abstractNum>
  <w:abstractNum w:abstractNumId="7">
    <w:nsid w:val="38437FDB"/>
    <w:multiLevelType w:val="hybridMultilevel"/>
    <w:lvl w:ilvl="0">
      <w:lvlJc w:val="left"/>
      <w:lvlText w:val="(%1)"/>
      <w:numFmt w:val="lowerLetter"/>
      <w:start w:val="5"/>
    </w:lvl>
  </w:abstractNum>
  <w:abstractNum w:abstractNumId="8">
    <w:nsid w:val="7644A45C"/>
    <w:multiLevelType w:val="hybridMultilevel"/>
    <w:lvl w:ilvl="0">
      <w:lvlJc w:val="left"/>
      <w:lvlText w:val="%1."/>
      <w:numFmt w:val="decimal"/>
      <w:start w:val="10"/>
    </w:lvl>
  </w:abstractNum>
  <w:abstractNum w:abstractNumId="9">
    <w:nsid w:val="32FFF902"/>
    <w:multiLevelType w:val="hybridMultilevel"/>
    <w:lvl w:ilvl="0">
      <w:lvlJc w:val="left"/>
      <w:lvlText w:val="%1."/>
      <w:numFmt w:val="decimal"/>
      <w:start w:val="12"/>
    </w:lvl>
    <w:lvl w:ilvl="1">
      <w:lvlJc w:val="left"/>
      <w:lvlText w:val="(%2)"/>
      <w:numFmt w:val="lowerLetter"/>
      <w:start w:val="1"/>
    </w:lvl>
  </w:abstractNum>
  <w:abstractNum w:abstractNumId="10">
    <w:nsid w:val="684A481A"/>
    <w:multiLevelType w:val="hybridMultilevel"/>
    <w:lvl w:ilvl="0">
      <w:lvlJc w:val="left"/>
      <w:lvlText w:val="%1."/>
      <w:numFmt w:val="decimal"/>
      <w:start w:val="14"/>
    </w:lvl>
    <w:lvl w:ilvl="1">
      <w:lvlJc w:val="left"/>
      <w:lvlText w:val="(%2)"/>
      <w:numFmt w:val="lowerLetter"/>
      <w:start w:val="1"/>
    </w:lvl>
  </w:abstractNum>
  <w:abstractNum w:abstractNumId="11">
    <w:nsid w:val="579478FE"/>
    <w:multiLevelType w:val="hybridMultilevel"/>
    <w:lvl w:ilvl="0">
      <w:lvlJc w:val="left"/>
      <w:lvlText w:val="(%1)"/>
      <w:numFmt w:val="lowerLetter"/>
      <w:start w:val="2"/>
    </w:lvl>
  </w:abstractNum>
  <w:abstractNum w:abstractNumId="12">
    <w:nsid w:val="749ABB43"/>
    <w:multiLevelType w:val="hybridMultilevel"/>
    <w:lvl w:ilvl="0">
      <w:lvlJc w:val="left"/>
      <w:lvlText w:val="%1."/>
      <w:numFmt w:val="decimal"/>
      <w:start w:val="16"/>
    </w:lvl>
    <w:lvl w:ilvl="1">
      <w:lvlJc w:val="left"/>
      <w:lvlText w:val="(%2)"/>
      <w:numFmt w:val="lowerLetter"/>
      <w:start w:val="1"/>
    </w:lvl>
  </w:abstractNum>
  <w:abstractNum w:abstractNumId="13">
    <w:nsid w:val="3DC240F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35"/>
    </w:lvl>
  </w:abstractNum>
  <w:abstractNum w:abstractNumId="14">
    <w:nsid w:val="1BA026FA"/>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15">
    <w:nsid w:val="79A1DEAA"/>
    <w:multiLevelType w:val="hybridMultilevel"/>
    <w:lvl w:ilvl="0">
      <w:lvlJc w:val="left"/>
      <w:lvlText w:val="%1."/>
      <w:numFmt w:val="decimal"/>
      <w:start w:val="22"/>
    </w:lvl>
  </w:abstractNum>
  <w:abstractNum w:abstractNumId="16">
    <w:nsid w:val="75C6C33A"/>
    <w:multiLevelType w:val="hybridMultilevel"/>
    <w:lvl w:ilvl="0">
      <w:lvlJc w:val="left"/>
      <w:lvlText w:val="%1."/>
      <w:numFmt w:val="decimal"/>
      <w:start w:val="23"/>
    </w:lvl>
  </w:abstractNum>
  <w:abstractNum w:abstractNumId="17">
    <w:nsid w:val="12E685FB"/>
    <w:multiLevelType w:val="hybridMultilevel"/>
    <w:lvl w:ilvl="0">
      <w:lvlJc w:val="left"/>
      <w:lvlText w:val="%1."/>
      <w:numFmt w:val="decimal"/>
      <w:start w:val="25"/>
    </w:lvl>
  </w:abstractNum>
  <w:abstractNum w:abstractNumId="18">
    <w:nsid w:val="70C6A529"/>
    <w:multiLevelType w:val="hybridMultilevel"/>
    <w:lvl w:ilvl="0">
      <w:lvlJc w:val="left"/>
      <w:lvlText w:val="%1."/>
      <w:numFmt w:val="decimal"/>
      <w:start w:val="27"/>
    </w:lvl>
  </w:abstractNum>
  <w:abstractNum w:abstractNumId="19">
    <w:nsid w:val="520EEDD1"/>
    <w:multiLevelType w:val="hybridMultilevel"/>
    <w:lvl w:ilvl="0">
      <w:lvlJc w:val="left"/>
      <w:lvlText w:val="%1."/>
      <w:numFmt w:val="decimal"/>
      <w:start w:val="31"/>
    </w:lvl>
  </w:abstractNum>
  <w:abstractNum w:abstractNumId="20">
    <w:nsid w:val="374A3FE6"/>
    <w:multiLevelType w:val="hybridMultilevel"/>
    <w:lvl w:ilvl="0">
      <w:lvlJc w:val="left"/>
      <w:lvlText w:val="%1."/>
      <w:numFmt w:val="decimal"/>
      <w:start w:val="32"/>
    </w:lvl>
  </w:abstractNum>
  <w:abstractNum w:abstractNumId="21">
    <w:nsid w:val="4F4EF005"/>
    <w:multiLevelType w:val="hybridMultilevel"/>
    <w:lvl w:ilvl="0">
      <w:lvlJc w:val="left"/>
      <w:lvlText w:val="%1."/>
      <w:numFmt w:val="decimal"/>
      <w:start w:val="34"/>
    </w:lvl>
  </w:abstractNum>
  <w:abstractNum w:abstractNumId="22">
    <w:nsid w:val="23F9C13C"/>
    <w:multiLevelType w:val="hybridMultilevel"/>
    <w:lvl w:ilvl="0">
      <w:lvlJc w:val="left"/>
      <w:lvlText w:val="%1."/>
      <w:numFmt w:val="decimal"/>
      <w:start w:val="36"/>
    </w:lvl>
  </w:abstractNum>
  <w:abstractNum w:abstractNumId="23">
    <w:nsid w:val="649BB77C"/>
    <w:multiLevelType w:val="hybridMultilevel"/>
    <w:lvl w:ilvl="0">
      <w:lvlJc w:val="left"/>
      <w:lvlText w:val="%1."/>
      <w:numFmt w:val="decimal"/>
      <w:start w:val="42"/>
    </w:lvl>
  </w:abstractNum>
  <w:abstractNum w:abstractNumId="24">
    <w:nsid w:val="275AC794"/>
    <w:multiLevelType w:val="hybridMultilevel"/>
    <w:lvl w:ilvl="0">
      <w:lvlJc w:val="left"/>
      <w:lvlText w:val="%1."/>
      <w:numFmt w:val="decimal"/>
      <w:start w:val="50"/>
    </w:lvl>
    <w:lvl w:ilvl="1">
      <w:lvlJc w:val="left"/>
      <w:lvlText w:val="(%2)"/>
      <w:numFmt w:val="lowerLetter"/>
      <w:start w:val="2"/>
    </w:lvl>
    <w:lvl w:ilvl="2">
      <w:lvlJc w:val="left"/>
      <w:lvlText w:val="(%3)"/>
      <w:numFmt w:val="lowerRoman"/>
      <w:start w:val="1"/>
    </w:lvl>
  </w:abstractNum>
  <w:abstractNum w:abstractNumId="25">
    <w:nsid w:val="39386575"/>
    <w:multiLevelType w:val="hybridMultilevel"/>
    <w:lvl w:ilvl="0">
      <w:lvlJc w:val="left"/>
      <w:lvlText w:val="%1."/>
      <w:numFmt w:val="decimal"/>
      <w:start w:val="55"/>
    </w:lvl>
  </w:abstractNum>
  <w:abstractNum w:abstractNumId="26">
    <w:nsid w:val="1CF10FD8"/>
    <w:multiLevelType w:val="hybridMultilevel"/>
    <w:lvl w:ilvl="0">
      <w:lvlJc w:val="left"/>
      <w:lvlText w:val="%1."/>
      <w:numFmt w:val="decimal"/>
      <w:start w:val="59"/>
    </w:lvl>
  </w:abstractNum>
  <w:abstractNum w:abstractNumId="27">
    <w:nsid w:val="180115BE"/>
    <w:multiLevelType w:val="hybridMultilevel"/>
    <w:lvl w:ilvl="0">
      <w:lvlJc w:val="left"/>
      <w:lvlText w:val="%1."/>
      <w:numFmt w:val="decimal"/>
      <w:start w:val="60"/>
    </w:lvl>
    <w:lvl w:ilvl="1">
      <w:lvlJc w:val="left"/>
      <w:lvlText w:val="(%2)"/>
      <w:numFmt w:val="lowerLetter"/>
      <w:start w:val="1"/>
    </w:lvl>
  </w:abstractNum>
  <w:abstractNum w:abstractNumId="28">
    <w:nsid w:val="235BA861"/>
    <w:multiLevelType w:val="hybridMultilevel"/>
    <w:lvl w:ilvl="0">
      <w:lvlJc w:val="left"/>
      <w:lvlText w:val="%1."/>
      <w:numFmt w:val="decimal"/>
      <w:start w:val="63"/>
    </w:lvl>
    <w:lvl w:ilvl="1">
      <w:lvlJc w:val="left"/>
      <w:lvlText w:val="(%2)"/>
      <w:numFmt w:val="lowerLetter"/>
      <w:start w:val="1"/>
    </w:lvl>
  </w:abstractNum>
  <w:abstractNum w:abstractNumId="29">
    <w:nsid w:val="47398C89"/>
    <w:multiLevelType w:val="hybridMultilevel"/>
    <w:lvl w:ilvl="0">
      <w:lvlJc w:val="left"/>
      <w:lvlText w:val="%1."/>
      <w:numFmt w:val="decimal"/>
      <w:start w:val="67"/>
    </w:lvl>
  </w:abstractNum>
  <w:abstractNum w:abstractNumId="30">
    <w:nsid w:val="354FE9F9"/>
    <w:multiLevelType w:val="hybridMultilevel"/>
    <w:lvl w:ilvl="0">
      <w:lvlJc w:val="left"/>
      <w:lvlText w:val="%1."/>
      <w:numFmt w:val="decimal"/>
      <w:start w:val="69"/>
    </w:lvl>
    <w:lvl w:ilvl="1">
      <w:lvlJc w:val="left"/>
      <w:lvlText w:val="(%2)"/>
      <w:numFmt w:val="lowerLetter"/>
      <w:start w:val="2"/>
    </w:lvl>
  </w:abstractNum>
  <w:abstractNum w:abstractNumId="31">
    <w:nsid w:val="15B5AF5C"/>
    <w:multiLevelType w:val="hybridMultilevel"/>
    <w:lvl w:ilvl="0">
      <w:lvlJc w:val="left"/>
      <w:lvlText w:val="%1."/>
      <w:numFmt w:val="decimal"/>
      <w:start w:val="72"/>
    </w:lvl>
    <w:lvl w:ilvl="1">
      <w:lvlJc w:val="left"/>
      <w:lvlText w:val="(%2)"/>
      <w:numFmt w:val="lowerLetter"/>
      <w:start w:val="1"/>
    </w:lvl>
  </w:abstractNum>
  <w:abstractNum w:abstractNumId="32">
    <w:nsid w:val="741226BB"/>
    <w:multiLevelType w:val="hybridMultilevel"/>
    <w:lvl w:ilvl="0">
      <w:lvlJc w:val="left"/>
      <w:lvlText w:val="%1."/>
      <w:numFmt w:val="decimal"/>
      <w:start w:val="74"/>
    </w:lvl>
  </w:abstractNum>
  <w:abstractNum w:abstractNumId="33">
    <w:nsid w:val="D34B6A8"/>
    <w:multiLevelType w:val="hybridMultilevel"/>
    <w:lvl w:ilvl="0">
      <w:lvlJc w:val="left"/>
      <w:lvlText w:val="%1."/>
      <w:numFmt w:val="decimal"/>
      <w:start w:val="78"/>
    </w:lvl>
    <w:lvl w:ilvl="1">
      <w:lvlJc w:val="left"/>
      <w:lvlText w:val="(%2)"/>
      <w:numFmt w:val="lowerLetter"/>
      <w:start w:val="1"/>
    </w:lvl>
  </w:abstractNum>
  <w:abstractNum w:abstractNumId="34">
    <w:nsid w:val="10233C99"/>
    <w:multiLevelType w:val="hybridMultilevel"/>
    <w:lvl w:ilvl="0">
      <w:lvlJc w:val="left"/>
      <w:lvlText w:val="%1."/>
      <w:numFmt w:val="decimal"/>
      <w:start w:val="84"/>
    </w:lvl>
  </w:abstractNum>
  <w:abstractNum w:abstractNumId="35">
    <w:nsid w:val="3F6AB60F"/>
    <w:multiLevelType w:val="hybridMultilevel"/>
    <w:lvl w:ilvl="0">
      <w:lvlJc w:val="left"/>
      <w:lvlText w:val="%1."/>
      <w:numFmt w:val="decimal"/>
      <w:start w:val="87"/>
    </w:lvl>
  </w:abstractNum>
  <w:abstractNum w:abstractNumId="36">
    <w:nsid w:val="61574095"/>
    <w:multiLevelType w:val="hybridMultilevel"/>
    <w:lvl w:ilvl="0">
      <w:lvlJc w:val="left"/>
      <w:lvlText w:val="%1."/>
      <w:numFmt w:val="decimal"/>
      <w:start w:val="93"/>
    </w:lvl>
    <w:lvl w:ilvl="1">
      <w:lvlJc w:val="left"/>
      <w:lvlText w:val="(%2)"/>
      <w:numFmt w:val="lowerLetter"/>
      <w:start w:val="1"/>
    </w:lvl>
  </w:abstractNum>
  <w:abstractNum w:abstractNumId="37">
    <w:nsid w:val="7E0C57B1"/>
    <w:multiLevelType w:val="hybridMultilevel"/>
    <w:lvl w:ilvl="0">
      <w:lvlJc w:val="left"/>
      <w:lvlText w:val="%1."/>
      <w:numFmt w:val="decimal"/>
      <w:start w:val="95"/>
    </w:lvl>
  </w:abstractNum>
  <w:abstractNum w:abstractNumId="38">
    <w:nsid w:val="77AE35EB"/>
    <w:multiLevelType w:val="hybridMultilevel"/>
    <w:lvl w:ilvl="0">
      <w:lvlJc w:val="left"/>
      <w:lvlText w:val="%1."/>
      <w:numFmt w:val="decimal"/>
      <w:start w:val="98"/>
    </w:lvl>
  </w:abstractNum>
  <w:abstractNum w:abstractNumId="39">
    <w:nsid w:val="579BE4F1"/>
    <w:multiLevelType w:val="hybridMultilevel"/>
    <w:lvl w:ilvl="0">
      <w:lvlJc w:val="left"/>
      <w:lvlText w:val="%1."/>
      <w:numFmt w:val="decimal"/>
      <w:start w:val="99"/>
    </w:lvl>
  </w:abstractNum>
  <w:abstractNum w:abstractNumId="40">
    <w:nsid w:val="310C50B3"/>
    <w:multiLevelType w:val="hybridMultilevel"/>
    <w:lvl w:ilvl="0">
      <w:lvlJc w:val="left"/>
      <w:lvlText w:val="%1."/>
      <w:numFmt w:val="decimal"/>
      <w:start w:val="100"/>
    </w:lvl>
    <w:lvl w:ilvl="1">
      <w:lvlJc w:val="left"/>
      <w:lvlText w:val="(%2)"/>
      <w:numFmt w:val="lowerLetter"/>
      <w:start w:val="2"/>
    </w:lvl>
  </w:abstractNum>
  <w:abstractNum w:abstractNumId="41">
    <w:nsid w:val="5FF87E05"/>
    <w:multiLevelType w:val="hybridMultilevel"/>
    <w:lvl w:ilvl="0">
      <w:lvlJc w:val="left"/>
      <w:lvlText w:val="%1."/>
      <w:numFmt w:val="decimal"/>
      <w:start w:val="101"/>
    </w:lvl>
  </w:abstractNum>
  <w:abstractNum w:abstractNumId="42">
    <w:nsid w:val="2F305DEF"/>
    <w:multiLevelType w:val="hybridMultilevel"/>
    <w:lvl w:ilvl="0">
      <w:lvlJc w:val="left"/>
      <w:lvlText w:val="%1."/>
      <w:numFmt w:val="decimal"/>
      <w:start w:val="107"/>
    </w:lvl>
  </w:abstractNum>
  <w:abstractNum w:abstractNumId="43">
    <w:nsid w:val="25A70BF7"/>
    <w:multiLevelType w:val="hybridMultilevel"/>
    <w:lvl w:ilvl="0">
      <w:lvlJc w:val="left"/>
      <w:lvlText w:val="%1."/>
      <w:numFmt w:val="decimal"/>
      <w:start w:val="109"/>
    </w:lvl>
    <w:lvl w:ilvl="1">
      <w:lvlJc w:val="left"/>
      <w:lvlText w:val="(%2)"/>
      <w:numFmt w:val="lowerLetter"/>
      <w:start w:val="1"/>
    </w:lvl>
  </w:abstractNum>
  <w:abstractNum w:abstractNumId="44">
    <w:nsid w:val="1DBABF00"/>
    <w:multiLevelType w:val="hybridMultilevel"/>
    <w:lvl w:ilvl="0">
      <w:lvlJc w:val="left"/>
      <w:lvlText w:val="%1."/>
      <w:numFmt w:val="decimal"/>
      <w:start w:val="112"/>
    </w:lvl>
  </w:abstractNum>
  <w:abstractNum w:abstractNumId="45">
    <w:nsid w:val="4AD084E9"/>
    <w:multiLevelType w:val="hybridMultilevel"/>
    <w:lvl w:ilvl="0">
      <w:lvlJc w:val="left"/>
      <w:lvlText w:val="%1."/>
      <w:numFmt w:val="decimal"/>
      <w:start w:val="119"/>
    </w:lvl>
  </w:abstractNum>
  <w:abstractNum w:abstractNumId="46">
    <w:nsid w:val="1F48EAA1"/>
    <w:multiLevelType w:val="hybridMultilevel"/>
    <w:lvl w:ilvl="0">
      <w:lvlJc w:val="left"/>
      <w:lvlText w:val="%1."/>
      <w:numFmt w:val="decimal"/>
      <w:start w:val="121"/>
    </w:lvl>
  </w:abstractNum>
  <w:abstractNum w:abstractNumId="47">
    <w:nsid w:val="1381823A"/>
    <w:multiLevelType w:val="hybridMultilevel"/>
    <w:lvl w:ilvl="0">
      <w:lvlJc w:val="left"/>
      <w:lvlText w:val="%1."/>
      <w:numFmt w:val="decimal"/>
      <w:start w:val="122"/>
    </w:lvl>
  </w:abstractNum>
  <w:abstractNum w:abstractNumId="48">
    <w:nsid w:val="5DB70AE5"/>
    <w:multiLevelType w:val="hybridMultilevel"/>
    <w:lvl w:ilvl="0">
      <w:lvlJc w:val="left"/>
      <w:lvlText w:val="%1."/>
      <w:numFmt w:val="decimal"/>
      <w:start w:val="125"/>
    </w:lvl>
    <w:lvl w:ilvl="1">
      <w:lvlJc w:val="left"/>
      <w:lvlText w:val="(%2)"/>
      <w:numFmt w:val="lowerLetter"/>
      <w:start w:val="1"/>
    </w:lvl>
  </w:abstractNum>
  <w:abstractNum w:abstractNumId="49">
    <w:nsid w:val="100F8FCA"/>
    <w:multiLevelType w:val="hybridMultilevel"/>
    <w:lvl w:ilvl="0">
      <w:lvlJc w:val="left"/>
      <w:lvlText w:val="%1."/>
      <w:numFmt w:val="decimal"/>
      <w:start w:val="126"/>
    </w:lvl>
  </w:abstractNum>
  <w:abstractNum w:abstractNumId="50">
    <w:nsid w:val="6590700B"/>
    <w:multiLevelType w:val="hybridMultilevel"/>
    <w:lvl w:ilvl="0">
      <w:lvlJc w:val="left"/>
      <w:lvlText w:val="%1."/>
      <w:numFmt w:val="decimal"/>
      <w:start w:val="130"/>
    </w:lvl>
    <w:lvl w:ilvl="1">
      <w:lvlJc w:val="left"/>
      <w:lvlText w:val="(%2)"/>
      <w:numFmt w:val="lowerLetter"/>
      <w:start w:val="1"/>
    </w:lvl>
  </w:abstractNum>
  <w:abstractNum w:abstractNumId="51">
    <w:nsid w:val="15014ACB"/>
    <w:multiLevelType w:val="hybridMultilevel"/>
    <w:lvl w:ilvl="0">
      <w:lvlJc w:val="left"/>
      <w:lvlText w:val="%1."/>
      <w:numFmt w:val="decimal"/>
      <w:start w:val="136"/>
    </w:lvl>
  </w:abstractNum>
  <w:abstractNum w:abstractNumId="52">
    <w:nsid w:val="5F5E7FD0"/>
    <w:multiLevelType w:val="hybridMultilevel"/>
    <w:lvl w:ilvl="0">
      <w:lvlJc w:val="left"/>
      <w:lvlText w:val="%1."/>
      <w:numFmt w:val="decimal"/>
      <w:start w:val="139"/>
    </w:lvl>
  </w:abstractNum>
  <w:abstractNum w:abstractNumId="53">
    <w:nsid w:val="98A3148"/>
    <w:multiLevelType w:val="hybridMultilevel"/>
    <w:lvl w:ilvl="0">
      <w:lvlJc w:val="left"/>
      <w:lvlText w:val="%1."/>
      <w:numFmt w:val="decimal"/>
      <w:start w:val="140"/>
    </w:lvl>
    <w:lvl w:ilvl="1">
      <w:lvlJc w:val="left"/>
      <w:lvlText w:val="(%2)"/>
      <w:numFmt w:val="lowerLetter"/>
      <w:start w:val="1"/>
    </w:lvl>
  </w:abstractNum>
  <w:abstractNum w:abstractNumId="54">
    <w:nsid w:val="799D0247"/>
    <w:multiLevelType w:val="hybridMultilevel"/>
    <w:lvl w:ilvl="0">
      <w:lvlJc w:val="left"/>
      <w:lvlText w:val="%1."/>
      <w:numFmt w:val="decimal"/>
      <w:start w:val="142"/>
    </w:lvl>
    <w:lvl w:ilvl="1">
      <w:lvlJc w:val="left"/>
      <w:lvlText w:val="(%2)"/>
      <w:numFmt w:val="lowerLetter"/>
      <w:start w:val="1"/>
    </w:lvl>
  </w:abstractNum>
  <w:abstractNum w:abstractNumId="55">
    <w:nsid w:val="6B94764"/>
    <w:multiLevelType w:val="hybridMultilevel"/>
    <w:lvl w:ilvl="0">
      <w:lvlJc w:val="left"/>
      <w:lvlText w:val="%1."/>
      <w:numFmt w:val="decimal"/>
      <w:start w:val="145"/>
    </w:lvl>
    <w:lvl w:ilvl="1">
      <w:lvlJc w:val="left"/>
      <w:lvlText w:val="(%2)"/>
      <w:numFmt w:val="lowerLetter"/>
      <w:start w:val="1"/>
    </w:lvl>
  </w:abstractNum>
  <w:abstractNum w:abstractNumId="56">
    <w:nsid w:val="42C296BD"/>
    <w:multiLevelType w:val="hybridMultilevel"/>
    <w:lvl w:ilvl="0">
      <w:lvlJc w:val="left"/>
      <w:lvlText w:val="%1"/>
      <w:numFmt w:val="decimal"/>
      <w:start w:val="1"/>
    </w:lvl>
    <w:lvl w:ilvl="1">
      <w:lvlJc w:val="left"/>
      <w:lvlText w:val="(%2)"/>
      <w:numFmt w:val="lowerLetter"/>
      <w:start w:val="8"/>
    </w:lvl>
  </w:abstractNum>
  <w:abstractNum w:abstractNumId="57">
    <w:nsid w:val="168E121F"/>
    <w:multiLevelType w:val="hybridMultilevel"/>
    <w:lvl w:ilvl="0">
      <w:lvlJc w:val="left"/>
      <w:lvlText w:val="%1."/>
      <w:numFmt w:val="decimal"/>
      <w:start w:val="146"/>
    </w:lvl>
    <w:lvl w:ilvl="1">
      <w:lvlJc w:val="left"/>
      <w:lvlText w:val="%2"/>
      <w:numFmt w:val="lowerLetter"/>
      <w:start w:val="1"/>
    </w:lvl>
  </w:abstractNum>
  <w:abstractNum w:abstractNumId="58">
    <w:nsid w:val="1EBA5D23"/>
    <w:multiLevelType w:val="hybridMultilevel"/>
    <w:lvl w:ilvl="0">
      <w:lvlJc w:val="left"/>
      <w:lvlText w:val="%1."/>
      <w:numFmt w:val="decimal"/>
      <w:start w:val="148"/>
    </w:lvl>
    <w:lvl w:ilvl="1">
      <w:lvlJc w:val="left"/>
      <w:lvlText w:val="(%2)"/>
      <w:numFmt w:val="lowerLetter"/>
      <w:start w:val="1"/>
    </w:lvl>
  </w:abstractNum>
  <w:abstractNum w:abstractNumId="59">
    <w:nsid w:val="661E3F1E"/>
    <w:multiLevelType w:val="hybridMultilevel"/>
    <w:lvl w:ilvl="0">
      <w:lvlJc w:val="left"/>
      <w:lvlText w:val="%1."/>
      <w:numFmt w:val="decimal"/>
      <w:start w:val="150"/>
    </w:lvl>
  </w:abstractNum>
  <w:abstractNum w:abstractNumId="60">
    <w:nsid w:val="5DC79EA8"/>
    <w:multiLevelType w:val="hybridMultilevel"/>
    <w:lvl w:ilvl="0">
      <w:lvlJc w:val="left"/>
      <w:lvlText w:val="%1."/>
      <w:numFmt w:val="decimal"/>
      <w:start w:val="153"/>
    </w:lvl>
  </w:abstractNum>
  <w:abstractNum w:abstractNumId="61">
    <w:nsid w:val="540A471C"/>
    <w:multiLevelType w:val="hybridMultilevel"/>
    <w:lvl w:ilvl="0">
      <w:lvlJc w:val="left"/>
      <w:lvlText w:val="%1."/>
      <w:numFmt w:val="decimal"/>
      <w:start w:val="159"/>
    </w:lvl>
  </w:abstractNum>
  <w:abstractNum w:abstractNumId="62">
    <w:nsid w:val="7BD3EE7B"/>
    <w:multiLevelType w:val="hybridMultilevel"/>
    <w:lvl w:ilvl="0">
      <w:lvlJc w:val="left"/>
      <w:lvlText w:val="%1."/>
      <w:numFmt w:val="decimal"/>
      <w:start w:val="163"/>
    </w:lvl>
  </w:abstractNum>
  <w:abstractNum w:abstractNumId="63">
    <w:nsid w:val="51D9C564"/>
    <w:multiLevelType w:val="hybridMultilevel"/>
    <w:lvl w:ilvl="0">
      <w:lvlJc w:val="left"/>
      <w:lvlText w:val="%1."/>
      <w:numFmt w:val="decimal"/>
      <w:start w:val="168"/>
    </w:lvl>
    <w:lvl w:ilvl="1">
      <w:lvlJc w:val="left"/>
      <w:lvlText w:val="(%2)"/>
      <w:numFmt w:val="lowerLetter"/>
      <w:start w:val="1"/>
    </w:lvl>
    <w:lvl w:ilvl="2">
      <w:lvlJc w:val="left"/>
      <w:lvlText w:val="(%3)"/>
      <w:numFmt w:val="lowerRoman"/>
      <w:start w:val="1"/>
    </w:lvl>
  </w:abstractNum>
  <w:abstractNum w:abstractNumId="64">
    <w:nsid w:val="613EFDC5"/>
    <w:multiLevelType w:val="hybridMultilevel"/>
    <w:lvl w:ilvl="0">
      <w:lvlJc w:val="left"/>
      <w:lvlText w:val="(%1)"/>
      <w:numFmt w:val="lowerLetter"/>
      <w:start w:val="3"/>
    </w:lvl>
  </w:abstractNum>
  <w:abstractNum w:abstractNumId="65">
    <w:nsid w:val="BF72B14"/>
    <w:multiLevelType w:val="hybridMultilevel"/>
    <w:lvl w:ilvl="0">
      <w:lvlJc w:val="left"/>
      <w:lvlText w:val="(%1)"/>
      <w:numFmt w:val="lowerLetter"/>
      <w:start w:val="4"/>
    </w:lvl>
    <w:lvl w:ilvl="1">
      <w:lvlJc w:val="left"/>
      <w:lvlText w:val="(%2)"/>
      <w:numFmt w:val="lowerRoman"/>
      <w:start w:val="1"/>
    </w:lvl>
  </w:abstractNum>
  <w:abstractNum w:abstractNumId="66">
    <w:nsid w:val="11447B73"/>
    <w:multiLevelType w:val="hybridMultilevel"/>
    <w:lvl w:ilvl="0">
      <w:lvlJc w:val="left"/>
      <w:lvlText w:val="%1"/>
      <w:numFmt w:val="decimal"/>
      <w:start w:val="1"/>
    </w:lvl>
    <w:lvl w:ilvl="1">
      <w:lvlJc w:val="left"/>
      <w:lvlText w:val="(%2)"/>
      <w:numFmt w:val="lowerLetter"/>
      <w:start w:val="5"/>
    </w:lvl>
  </w:abstractNum>
  <w:abstractNum w:abstractNumId="67">
    <w:nsid w:val="42963E5A"/>
    <w:multiLevelType w:val="hybridMultilevel"/>
    <w:lvl w:ilvl="0">
      <w:lvlJc w:val="left"/>
      <w:lvlText w:val="%1."/>
      <w:numFmt w:val="decimal"/>
      <w:start w:val="169"/>
    </w:lvl>
    <w:lvl w:ilvl="1">
      <w:lvlJc w:val="left"/>
      <w:lvlText w:val="(%2)"/>
      <w:numFmt w:val="lowerLetter"/>
      <w:start w:val="1"/>
    </w:lvl>
  </w:abstractNum>
  <w:abstractNum w:abstractNumId="68">
    <w:nsid w:val="A0382C5"/>
    <w:multiLevelType w:val="hybridMultilevel"/>
    <w:lvl w:ilvl="0">
      <w:lvlJc w:val="left"/>
      <w:lvlText w:val="%1."/>
      <w:numFmt w:val="decimal"/>
      <w:start w:val="170"/>
    </w:lvl>
  </w:abstractNum>
  <w:abstractNum w:abstractNumId="69">
    <w:nsid w:val="8F2B15E"/>
    <w:multiLevelType w:val="hybridMultilevel"/>
    <w:lvl w:ilvl="0">
      <w:lvlJc w:val="left"/>
      <w:lvlText w:val="%1."/>
      <w:numFmt w:val="decimal"/>
      <w:start w:val="172"/>
    </w:lvl>
    <w:lvl w:ilvl="1">
      <w:lvlJc w:val="left"/>
      <w:lvlText w:val="(%2)"/>
      <w:numFmt w:val="lowerLetter"/>
      <w:start w:val="1"/>
    </w:lvl>
  </w:abstractNum>
  <w:abstractNum w:abstractNumId="70">
    <w:nsid w:val="1A32234B"/>
    <w:multiLevelType w:val="hybridMultilevel"/>
    <w:lvl w:ilvl="0">
      <w:lvlJc w:val="left"/>
      <w:lvlText w:val="%1."/>
      <w:numFmt w:val="decimal"/>
      <w:start w:val="175"/>
    </w:lvl>
  </w:abstractNum>
  <w:abstractNum w:abstractNumId="71">
    <w:nsid w:val="3B0FD379"/>
    <w:multiLevelType w:val="hybridMultilevel"/>
    <w:lvl w:ilvl="0">
      <w:lvlJc w:val="left"/>
      <w:lvlText w:val="%1."/>
      <w:numFmt w:val="decimal"/>
      <w:start w:val="176"/>
    </w:lvl>
    <w:lvl w:ilvl="1">
      <w:lvlJc w:val="left"/>
      <w:lvlText w:val="(%2)"/>
      <w:numFmt w:val="lowerLetter"/>
      <w:start w:val="1"/>
    </w:lvl>
  </w:abstractNum>
  <w:abstractNum w:abstractNumId="72">
    <w:nsid w:val="68EB2F63"/>
    <w:multiLevelType w:val="hybridMultilevel"/>
    <w:lvl w:ilvl="0">
      <w:lvlJc w:val="left"/>
      <w:lvlText w:val="%1."/>
      <w:numFmt w:val="decimal"/>
      <w:start w:val="177"/>
    </w:lvl>
  </w:abstractNum>
  <w:abstractNum w:abstractNumId="73">
    <w:nsid w:val="4962813B"/>
    <w:multiLevelType w:val="hybridMultilevel"/>
    <w:lvl w:ilvl="0">
      <w:lvlJc w:val="left"/>
      <w:lvlText w:val="%1."/>
      <w:numFmt w:val="decimal"/>
      <w:start w:val="179"/>
    </w:lvl>
    <w:lvl w:ilvl="1">
      <w:lvlJc w:val="left"/>
      <w:lvlText w:val="(%2)"/>
      <w:numFmt w:val="lowerLetter"/>
      <w:start w:val="1"/>
    </w:lvl>
  </w:abstractNum>
  <w:abstractNum w:abstractNumId="74">
    <w:nsid w:val="60B6DF70"/>
    <w:multiLevelType w:val="hybridMultilevel"/>
    <w:lvl w:ilvl="0">
      <w:lvlJc w:val="left"/>
      <w:lvlText w:val="(%1)"/>
      <w:numFmt w:val="lowerLetter"/>
      <w:start w:val="4"/>
    </w:lvl>
  </w:abstractNum>
  <w:abstractNum w:abstractNumId="75">
    <w:nsid w:val="6A5EE64"/>
    <w:multiLevelType w:val="hybridMultilevel"/>
    <w:lvl w:ilvl="0">
      <w:lvlJc w:val="left"/>
      <w:lvlText w:val="%1."/>
      <w:numFmt w:val="decimal"/>
      <w:start w:val="181"/>
    </w:lvl>
  </w:abstractNum>
  <w:abstractNum w:abstractNumId="76">
    <w:nsid w:val="14330624"/>
    <w:multiLevelType w:val="hybridMultilevel"/>
    <w:lvl w:ilvl="0">
      <w:lvlJc w:val="left"/>
      <w:lvlText w:val="%1."/>
      <w:numFmt w:val="decimal"/>
      <w:start w:val="182"/>
    </w:lvl>
  </w:abstractNum>
  <w:abstractNum w:abstractNumId="77">
    <w:nsid w:val="7FFFCA11"/>
    <w:multiLevelType w:val="hybridMultilevel"/>
    <w:lvl w:ilvl="0">
      <w:lvlJc w:val="left"/>
      <w:lvlText w:val="%1."/>
      <w:numFmt w:val="decimal"/>
      <w:start w:val="183"/>
    </w:lvl>
  </w:abstractNum>
  <w:abstractNum w:abstractNumId="78">
    <w:nsid w:val="1A27709E"/>
    <w:multiLevelType w:val="hybridMultilevel"/>
    <w:lvl w:ilvl="0">
      <w:lvlJc w:val="left"/>
      <w:lvlText w:val="%1."/>
      <w:numFmt w:val="decimal"/>
      <w:start w:val="186"/>
    </w:lvl>
    <w:lvl w:ilvl="1">
      <w:lvlJc w:val="left"/>
      <w:lvlText w:val="(%2)"/>
      <w:numFmt w:val="lowerLetter"/>
      <w:start w:val="1"/>
    </w:lvl>
  </w:abstractNum>
  <w:abstractNum w:abstractNumId="79">
    <w:nsid w:val="71EA1109"/>
    <w:multiLevelType w:val="hybridMultilevel"/>
    <w:lvl w:ilvl="0">
      <w:lvlJc w:val="left"/>
      <w:lvlText w:val="%1"/>
      <w:numFmt w:val="decimal"/>
      <w:start w:val="1"/>
    </w:lvl>
    <w:lvl w:ilvl="1">
      <w:lvlJc w:val="left"/>
      <w:lvlText w:val="(%2)"/>
      <w:numFmt w:val="lowerLetter"/>
      <w:start w:val="3"/>
    </w:lvl>
  </w:abstractNum>
  <w:abstractNum w:abstractNumId="80">
    <w:nsid w:val="100F59DC"/>
    <w:multiLevelType w:val="hybridMultilevel"/>
    <w:lvl w:ilvl="0">
      <w:lvlJc w:val="left"/>
      <w:lvlText w:val="%1."/>
      <w:numFmt w:val="decimal"/>
      <w:start w:val="189"/>
    </w:lvl>
  </w:abstractNum>
  <w:abstractNum w:abstractNumId="81">
    <w:nsid w:val="7FB7E0AA"/>
    <w:multiLevelType w:val="hybridMultilevel"/>
    <w:lvl w:ilvl="0">
      <w:lvlJc w:val="left"/>
      <w:lvlText w:val="%1."/>
      <w:numFmt w:val="decimal"/>
      <w:start w:val="190"/>
    </w:lvl>
  </w:abstractNum>
  <w:abstractNum w:abstractNumId="82">
    <w:nsid w:val="6EB5BD4"/>
    <w:multiLevelType w:val="hybridMultilevel"/>
    <w:lvl w:ilvl="0">
      <w:lvlJc w:val="left"/>
      <w:lvlText w:val="%1."/>
      <w:numFmt w:val="decimal"/>
      <w:start w:val="193"/>
    </w:lvl>
  </w:abstractNum>
  <w:abstractNum w:abstractNumId="83">
    <w:nsid w:val="6F6DD9AC"/>
    <w:multiLevelType w:val="hybridMultilevel"/>
    <w:lvl w:ilvl="0">
      <w:lvlJc w:val="left"/>
      <w:lvlText w:val="%1."/>
      <w:numFmt w:val="decimal"/>
      <w:start w:val="194"/>
    </w:lvl>
  </w:abstractNum>
  <w:abstractNum w:abstractNumId="84">
    <w:nsid w:val="94211F2"/>
    <w:multiLevelType w:val="hybridMultilevel"/>
    <w:lvl w:ilvl="0">
      <w:lvlJc w:val="left"/>
      <w:lvlText w:val="%1."/>
      <w:numFmt w:val="decimal"/>
      <w:start w:val="195"/>
    </w:lvl>
  </w:abstractNum>
  <w:abstractNum w:abstractNumId="85">
    <w:nsid w:val="885E1B"/>
    <w:multiLevelType w:val="hybridMultilevel"/>
    <w:lvl w:ilvl="0">
      <w:lvlJc w:val="left"/>
      <w:lvlText w:val="(%1)"/>
      <w:numFmt w:val="lowerRoman"/>
      <w:start w:val="1"/>
    </w:lvl>
  </w:abstractNum>
  <w:abstractNum w:abstractNumId="86">
    <w:nsid w:val="7627211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2026-06-15T05:37:41Z</dcterms:created>
  <dcterms:modified xsi:type="dcterms:W3CDTF">2026-06-15T05:37:41Z</dcterms:modified>
</cp:coreProperties>
</file>