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11d1_6k.htm"/>
      <w:bookmarkStart w:id="1" w:name="kstm262581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28" w:type="dxa"/>
          <w:right w:w="0" w:type="dxa"/>
        </w:tblCellMar>
      </w:tblPr>
      <w:tblGrid>
        <w:gridCol w:w="995"/>
        <w:gridCol w:w="60"/>
        <w:gridCol w:w="479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7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581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5811d1_ex99-1.htm">
              <w:r>
                <w:rPr>
                  <w:rStyle w:val="InternetLink"/>
                  <w:rFonts w:ascii="Times New Roman;Times;Serif" w:hAnsi="Times New Roman;Times;Serif"/>
                  <w:sz w:val="20"/>
                </w:rPr>
                <w:t>Next Day Disclosure Return Dated</w:t>
              </w:r>
            </w:hyperlink>
            <w:hyperlink w:anchor="tm2625811d1_ex99-1.htm">
              <w:r>
                <w:rPr>
                  <w:rStyle w:val="InternetLink"/>
                </w:rPr>
                <w:t xml:space="preserve"> </w:t>
              </w:r>
            </w:hyperlink>
            <w:hyperlink w:anchor="tm2625811d1_ex99-1.htm">
              <w:r>
                <w:rPr>
                  <w:rStyle w:val="InternetLink"/>
                  <w:rFonts w:ascii="Times New Roman;Times;Serif" w:hAnsi="Times New Roman;Times;Serif"/>
                </w:rPr>
                <w:t>September 14, 2026</w:t>
              </w:r>
            </w:hyperlink>
          </w:p>
        </w:tc>
      </w:tr>
      <w:tr>
        <w:trPr/>
        <w:tc>
          <w:tcPr>
            <w:tcW w:w="995" w:type="dxa"/>
            <w:tcBorders/>
            <w:tcMar>
              <w:bottom w:w="0" w:type="dxa"/>
            </w:tcMar>
            <w:vAlign w:val="center"/>
          </w:tcPr>
          <w:p>
            <w:pPr>
              <w:pStyle w:val="TableContents"/>
              <w:bidi w:val="0"/>
              <w:spacing w:before="0" w:after="283"/>
              <w:jc w:val="center"/>
              <w:rPr/>
            </w:pPr>
            <w:hyperlink w:anchor="tm262581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5811d1_ex99-2.htm">
              <w:r>
                <w:rPr>
                  <w:rStyle w:val="InternetLink"/>
                  <w:rFonts w:ascii="Times New Roman;Times;Serif" w:hAnsi="Times New Roman;Times;Serif"/>
                  <w:sz w:val="20"/>
                </w:rPr>
                <w:t>Next Day Disclosure Return Dated</w:t>
              </w:r>
            </w:hyperlink>
            <w:hyperlink w:anchor="tm2625811d1_ex99-2.htm">
              <w:r>
                <w:rPr>
                  <w:rStyle w:val="InternetLink"/>
                </w:rPr>
                <w:t xml:space="preserve"> </w:t>
              </w:r>
            </w:hyperlink>
            <w:hyperlink w:anchor="tm2625811d1_ex99-2.htm">
              <w:r>
                <w:rPr>
                  <w:rStyle w:val="InternetLink"/>
                  <w:rFonts w:ascii="Times New Roman;Times;Serif" w:hAnsi="Times New Roman;Times;Serif"/>
                </w:rPr>
                <w:t>September 15, 2026</w:t>
              </w:r>
            </w:hyperlink>
          </w:p>
        </w:tc>
      </w:tr>
      <w:tr>
        <w:trPr/>
        <w:tc>
          <w:tcPr>
            <w:tcW w:w="995" w:type="dxa"/>
            <w:tcBorders/>
            <w:tcMar>
              <w:bottom w:w="0" w:type="dxa"/>
            </w:tcMar>
            <w:vAlign w:val="center"/>
          </w:tcPr>
          <w:p>
            <w:pPr>
              <w:pStyle w:val="TableContents"/>
              <w:bidi w:val="0"/>
              <w:spacing w:before="0" w:after="283"/>
              <w:jc w:val="center"/>
              <w:rPr/>
            </w:pPr>
            <w:hyperlink w:anchor="tm2625811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5811d1_ex99-3.htm">
              <w:r>
                <w:rPr>
                  <w:rStyle w:val="InternetLink"/>
                  <w:rFonts w:ascii="Times New Roman;Times;Serif" w:hAnsi="Times New Roman;Times;Serif"/>
                  <w:sz w:val="20"/>
                </w:rPr>
                <w:t>Next Day Disclosure Return Dated</w:t>
              </w:r>
            </w:hyperlink>
            <w:hyperlink w:anchor="tm2625811d1_ex99-3.htm">
              <w:r>
                <w:rPr>
                  <w:rStyle w:val="InternetLink"/>
                </w:rPr>
                <w:t xml:space="preserve"> </w:t>
              </w:r>
            </w:hyperlink>
            <w:hyperlink w:anchor="tm2625811d1_ex99-3.htm">
              <w:r>
                <w:rPr>
                  <w:rStyle w:val="InternetLink"/>
                  <w:rFonts w:ascii="Times New Roman;Times;Serif" w:hAnsi="Times New Roman;Times;Serif"/>
                </w:rPr>
                <w:t>September 16, 2026</w:t>
              </w:r>
            </w:hyperlink>
          </w:p>
        </w:tc>
      </w:tr>
      <w:tr>
        <w:trPr/>
        <w:tc>
          <w:tcPr>
            <w:tcW w:w="995" w:type="dxa"/>
            <w:tcBorders/>
            <w:tcMar>
              <w:bottom w:w="0" w:type="dxa"/>
            </w:tcMar>
            <w:vAlign w:val="center"/>
          </w:tcPr>
          <w:p>
            <w:pPr>
              <w:pStyle w:val="TableContents"/>
              <w:bidi w:val="0"/>
              <w:spacing w:before="0" w:after="283"/>
              <w:jc w:val="center"/>
              <w:rPr/>
            </w:pPr>
            <w:hyperlink w:anchor="tm2625811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5811d1_ex99-4.htm">
              <w:r>
                <w:rPr>
                  <w:rStyle w:val="InternetLink"/>
                  <w:rFonts w:ascii="Times New Roman;Times;Serif" w:hAnsi="Times New Roman;Times;Serif"/>
                  <w:sz w:val="20"/>
                </w:rPr>
                <w:t>Next Day Disclosure Return Dated</w:t>
              </w:r>
            </w:hyperlink>
            <w:hyperlink w:anchor="tm2625811d1_ex99-4.htm">
              <w:r>
                <w:rPr>
                  <w:rStyle w:val="InternetLink"/>
                </w:rPr>
                <w:t xml:space="preserve"> </w:t>
              </w:r>
            </w:hyperlink>
            <w:hyperlink w:anchor="tm2625811d1_ex99-4.htm">
              <w:r>
                <w:rPr>
                  <w:rStyle w:val="InternetLink"/>
                  <w:rFonts w:ascii="Times New Roman;Times;Serif" w:hAnsi="Times New Roman;Times;Serif"/>
                </w:rPr>
                <w:t>September 17,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828" w:type="dxa"/>
        <w:jc w:val="left"/>
        <w:tblInd w:w="0" w:type="dxa"/>
        <w:tblLayout w:type="fixed"/>
        <w:tblCellMar>
          <w:top w:w="0" w:type="dxa"/>
          <w:left w:w="0" w:type="dxa"/>
          <w:bottom w:w="0" w:type="dxa"/>
          <w:right w:w="0" w:type="dxa"/>
        </w:tblCellMar>
      </w:tblPr>
      <w:tblGrid>
        <w:gridCol w:w="38"/>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both"/>
              <w:rPr>
                <w:b/>
              </w:rPr>
            </w:pPr>
            <w:r>
              <w:rPr>
                <w:b/>
              </w:rPr>
              <w:t>KE Holdings Inc.</w:t>
            </w:r>
          </w:p>
        </w:tc>
      </w:tr>
    </w:tbl>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5811d1_ex99-1.htm"/>
      <w:bookmarkStart w:id="3" w:name="kstm2625811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14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September 2026 3,300,858,110 0 3,300,858,110 1). Other (please specify) See Part B Date of changes 11 September 2026 % Closing balance as at (Notes 5 and 6) 11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0.015 % USD 5.6627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11 September 2026 529,269 On another stock exchange New York Stock Exchange USD 5.7 USD 5.63 USD 2,997,091.57 Total number of shares repurchased 529,269 Aggregate price paid $ USD 2,997,091.57 Number of shares repurchased for cancellation 529,269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32,702,680 4). As a % of number of issued shares (excluding treasury shares) as at the date of the resolution granting the repurchase mandate (a) x 100 / number of issued shares (excluding treasury shares) as at the date of the resolution granting the repurchase mandate 0.944 % 5). Moratorium period for any issue of new shares, or sale or transfer of treasury shares after the share repurchase(s) set out in Part A (Note 2) Up to 11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5811d1_ex99-2.htm"/>
      <w:bookmarkStart w:id="5" w:name="kstm2625811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15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11 September 2026 3,300,858,110 0 3,300,858,110 1). Other (please specify) See Part B Date of changes 14 September 2026 % Closing balance as at (Notes 5 and 6) 14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0.016 % USD 5.586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14 September 2026 537,054 On another stock exchange New York Stock Exchange USD 5.64 USD 5.55 USD 2,999,965.74 Total number of shares repurchased 537,054 Aggregate price paid $ USD 2,999,965.74 Number of shares repurchased for cancellation 537,054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33,239,734 4). As a % of number of issued shares (excluding treasury shares) as at the date of the resolution granting the repurchase mandate (a) x 100 / number of issued shares (excluding treasury shares) as at the date of the resolution granting the repurchase mandate 0.96 % 5). Moratorium period for any issue of new shares, or sale or transfer of treasury shares after the share repurchase(s) set out in Part A (Note 2) Up to 14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5811d1_ex99-3.htm"/>
      <w:bookmarkStart w:id="7" w:name="kstm2625811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16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14 September 2026 3,300,858,110 0 3,300,858,110 1). Other (please specify) See Part B Date of changes 15 September 2026 % Closing balance as at (Notes 5 and 6) 15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0.016 % USD 5.3894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15 September 2026 556,320 On another stock exchange New York Stock Exchange USD 5.47 USD 5.36 USD 2,998,231.01 Total number of shares repurchased 556,320 Aggregate price paid $ USD 2,998,231.01 Number of shares repurchased for cancellation 556,320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33,796,054 4). As a % of number of issued shares (excluding treasury shares) as at the date of the resolution granting the repurchase mandate (a) x 100 / number of issued shares (excluding treasury shares) as at the date of the resolution granting the repurchase mandate 0.976 % 5). Moratorium period for any issue of new shares, or sale or transfer of treasury shares after the share repurchase(s) set out in Part A (Note 2) Up to 15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5811d1_ex99-4.htm"/>
      <w:bookmarkStart w:id="9" w:name="kstm2625811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17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15 September 2026 3,300,858,110 0 3,300,858,110 1). Other (please specify) See Part B Date of changes 16 September 2026 % Closing balance as at (Notes 5 and 6) 16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0.016 % USD 5.3467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16 September 2026 561,090 On another stock exchange New York Stock Exchange USD 5.37 USD 5.3 USD 2,999,979.9 Total number of shares repurchased 561,090 Aggregate price paid $ USD 2,999,979.9 Number of shares repurchased for cancellation 561,090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34,357,144 4). As a % of number of issued shares (excluding treasury shares) as at the date of the resolution granting the repurchase mandate (a) x 100 / number of issued shares (excluding treasury shares) as at the date of the resolution granting the repurchase mandate 0.992 % 5). Moratorium period for any issue of new shares, or sale or transfer of treasury shares after the share repurchase(s) set out in Part A (Note 2) Up to 16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6.jpeg"/><Relationship Id="rId17" Type="http://schemas.openxmlformats.org/officeDocument/2006/relationships/image" Target="media/image12.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14.jpeg"/><Relationship Id="rId25" Type="http://schemas.openxmlformats.org/officeDocument/2006/relationships/image" Target="media/image6.jpeg"/><Relationship Id="rId26" Type="http://schemas.openxmlformats.org/officeDocument/2006/relationships/image" Target="media/image15.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6.jpeg"/><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image" Target="media/image4.jpeg"/><Relationship Id="rId33" Type="http://schemas.openxmlformats.org/officeDocument/2006/relationships/image" Target="media/image17.jpeg"/><Relationship Id="rId34" Type="http://schemas.openxmlformats.org/officeDocument/2006/relationships/image" Target="media/image6.jpeg"/><Relationship Id="rId35" Type="http://schemas.openxmlformats.org/officeDocument/2006/relationships/image" Target="media/image18.jpeg"/><Relationship Id="rId36" Type="http://schemas.openxmlformats.org/officeDocument/2006/relationships/image" Target="media/image8.jpeg"/><Relationship Id="rId37" Type="http://schemas.openxmlformats.org/officeDocument/2006/relationships/image" Target="media/image9.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9032</Words>
  <Characters>43549</Characters>
  <CharactersWithSpaces>52563</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