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0001976097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4"/>
        <w:gridCol w:w="4191"/>
      </w:tblGrid>
      <w:tr>
        <w:trPr/>
        <w:tc>
          <w:tcPr>
            <w:tcW w:w="6014" w:type="dxa"/>
            <w:tcBorders/>
            <w:vAlign w:val="center"/>
          </w:tcPr>
          <w:p>
            <w:pPr>
              <w:pStyle w:val="TableContents"/>
              <w:bidi w:val="0"/>
              <w:spacing w:before="0" w:after="283"/>
              <w:jc w:val="left"/>
              <w:rPr/>
            </w:pPr>
            <w:r>
              <w:rPr/>
              <w:t>Name of Issuer</w:t>
            </w:r>
          </w:p>
        </w:tc>
        <w:tc>
          <w:tcPr>
            <w:tcW w:w="4191" w:type="dxa"/>
            <w:tcBorders/>
            <w:vAlign w:val="center"/>
          </w:tcPr>
          <w:p>
            <w:pPr>
              <w:pStyle w:val="TableContents"/>
              <w:bidi w:val="0"/>
              <w:spacing w:before="0" w:after="0"/>
              <w:jc w:val="left"/>
              <w:rPr/>
            </w:pPr>
            <w:r>
              <w:rPr/>
              <w:t>KE Holdings Inc.</w:t>
            </w:r>
          </w:p>
        </w:tc>
      </w:tr>
      <w:tr>
        <w:trPr/>
        <w:tc>
          <w:tcPr>
            <w:tcW w:w="6014" w:type="dxa"/>
            <w:tcBorders/>
            <w:vAlign w:val="center"/>
          </w:tcPr>
          <w:p>
            <w:pPr>
              <w:pStyle w:val="TableContents"/>
              <w:bidi w:val="0"/>
              <w:spacing w:before="0" w:after="283"/>
              <w:jc w:val="left"/>
              <w:rPr/>
            </w:pPr>
            <w:r>
              <w:rPr/>
              <w:t>SEC File Number</w:t>
            </w:r>
          </w:p>
        </w:tc>
        <w:tc>
          <w:tcPr>
            <w:tcW w:w="4191" w:type="dxa"/>
            <w:tcBorders/>
            <w:vAlign w:val="center"/>
          </w:tcPr>
          <w:p>
            <w:pPr>
              <w:pStyle w:val="TableContents"/>
              <w:bidi w:val="0"/>
              <w:spacing w:before="0" w:after="0"/>
              <w:jc w:val="left"/>
              <w:rPr/>
            </w:pPr>
            <w:r>
              <w:rPr/>
              <w:t>001-39436</w:t>
            </w:r>
          </w:p>
        </w:tc>
      </w:tr>
      <w:tr>
        <w:trPr/>
        <w:tc>
          <w:tcPr>
            <w:tcW w:w="6014" w:type="dxa"/>
            <w:tcBorders/>
            <w:vAlign w:val="center"/>
          </w:tcPr>
          <w:p>
            <w:pPr>
              <w:pStyle w:val="TableContents"/>
              <w:bidi w:val="0"/>
              <w:spacing w:before="0" w:after="283"/>
              <w:jc w:val="left"/>
              <w:rPr/>
            </w:pPr>
            <w:r>
              <w:rPr/>
              <w:t>Address of Issuer</w:t>
            </w:r>
          </w:p>
        </w:tc>
        <w:tc>
          <w:tcPr>
            <w:tcW w:w="4191" w:type="dxa"/>
            <w:tcBorders/>
            <w:vAlign w:val="center"/>
          </w:tcPr>
          <w:p>
            <w:pPr>
              <w:pStyle w:val="TableContents"/>
              <w:bidi w:val="0"/>
              <w:spacing w:before="0" w:after="0"/>
              <w:jc w:val="left"/>
              <w:rPr/>
            </w:pPr>
            <w:r>
              <w:rPr/>
              <w:t>Oriental Electronic Technology Building</w:t>
              <w:br/>
              <w:t>No. 2 Chuangye Road, Haidian District</w:t>
              <w:br/>
              <w:t>Beijing</w:t>
              <w:br/>
              <w:t xml:space="preserve">CHINA </w:t>
              <w:br/>
              <w:t>100086</w:t>
            </w:r>
          </w:p>
        </w:tc>
      </w:tr>
      <w:tr>
        <w:trPr/>
        <w:tc>
          <w:tcPr>
            <w:tcW w:w="6014" w:type="dxa"/>
            <w:tcBorders/>
            <w:vAlign w:val="center"/>
          </w:tcPr>
          <w:p>
            <w:pPr>
              <w:pStyle w:val="TableContents"/>
              <w:bidi w:val="0"/>
              <w:spacing w:before="0" w:after="283"/>
              <w:jc w:val="left"/>
              <w:rPr/>
            </w:pPr>
            <w:r>
              <w:rPr/>
              <w:t>Phone</w:t>
            </w:r>
          </w:p>
        </w:tc>
        <w:tc>
          <w:tcPr>
            <w:tcW w:w="4191" w:type="dxa"/>
            <w:tcBorders/>
            <w:vAlign w:val="center"/>
          </w:tcPr>
          <w:p>
            <w:pPr>
              <w:pStyle w:val="TableContents"/>
              <w:bidi w:val="0"/>
              <w:spacing w:before="0" w:after="0"/>
              <w:jc w:val="left"/>
              <w:rPr/>
            </w:pPr>
            <w:r>
              <w:rPr/>
              <w:t>86-10-5810-4689</w:t>
            </w:r>
          </w:p>
        </w:tc>
      </w:tr>
      <w:tr>
        <w:trPr/>
        <w:tc>
          <w:tcPr>
            <w:tcW w:w="6014" w:type="dxa"/>
            <w:tcBorders/>
            <w:vAlign w:val="center"/>
          </w:tcPr>
          <w:p>
            <w:pPr>
              <w:pStyle w:val="TableContents"/>
              <w:bidi w:val="0"/>
              <w:spacing w:before="0" w:after="283"/>
              <w:jc w:val="left"/>
              <w:rPr/>
            </w:pPr>
            <w:r>
              <w:rPr/>
              <w:t>Name of Person for Whose Account the Securities are To Be Sold</w:t>
            </w:r>
          </w:p>
        </w:tc>
        <w:tc>
          <w:tcPr>
            <w:tcW w:w="4191" w:type="dxa"/>
            <w:tcBorders/>
            <w:vAlign w:val="center"/>
          </w:tcPr>
          <w:p>
            <w:pPr>
              <w:pStyle w:val="TableContents"/>
              <w:bidi w:val="0"/>
              <w:spacing w:before="0" w:after="0"/>
              <w:jc w:val="left"/>
              <w:rPr/>
            </w:pPr>
            <w:r>
              <w:rPr/>
              <w:t>Ever Orient International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4" w:type="dxa"/>
            <w:tcBorders/>
            <w:vAlign w:val="center"/>
          </w:tcPr>
          <w:p>
            <w:pPr>
              <w:pStyle w:val="TableContents"/>
              <w:bidi w:val="0"/>
              <w:spacing w:before="0" w:after="283"/>
              <w:jc w:val="left"/>
              <w:rPr/>
            </w:pPr>
            <w:r>
              <w:rPr/>
              <w:t>Relationship to Issuer</w:t>
            </w:r>
          </w:p>
        </w:tc>
        <w:tc>
          <w:tcPr>
            <w:tcW w:w="4191" w:type="dxa"/>
            <w:tcBorders/>
            <w:vAlign w:val="center"/>
          </w:tcPr>
          <w:p>
            <w:pPr>
              <w:pStyle w:val="TableContents"/>
              <w:bidi w:val="0"/>
              <w:spacing w:before="0" w:after="0"/>
              <w:jc w:val="left"/>
              <w:rPr/>
            </w:pPr>
            <w:r>
              <w:rPr/>
              <w:t>Director</w:t>
            </w:r>
          </w:p>
        </w:tc>
      </w:tr>
      <w:tr>
        <w:trPr/>
        <w:tc>
          <w:tcPr>
            <w:tcW w:w="6014" w:type="dxa"/>
            <w:tcBorders/>
            <w:vAlign w:val="center"/>
          </w:tcPr>
          <w:p>
            <w:pPr>
              <w:pStyle w:val="TableContents"/>
              <w:bidi w:val="0"/>
              <w:spacing w:before="0" w:after="283"/>
              <w:jc w:val="left"/>
              <w:rPr/>
            </w:pPr>
            <w:r>
              <w:rPr/>
              <w:t>Relationship to Issuer</w:t>
            </w:r>
          </w:p>
        </w:tc>
        <w:tc>
          <w:tcPr>
            <w:tcW w:w="41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81"/>
        <w:gridCol w:w="1417"/>
        <w:gridCol w:w="1138"/>
        <w:gridCol w:w="1545"/>
        <w:gridCol w:w="1525"/>
        <w:gridCol w:w="1550"/>
        <w:gridCol w:w="1349"/>
      </w:tblGrid>
      <w:tr>
        <w:trPr/>
        <w:tc>
          <w:tcPr>
            <w:tcW w:w="1681" w:type="dxa"/>
            <w:tcBorders/>
            <w:vAlign w:val="center"/>
          </w:tcPr>
          <w:p>
            <w:pPr>
              <w:pStyle w:val="TableHeading"/>
              <w:suppressLineNumbers/>
              <w:bidi w:val="0"/>
              <w:spacing w:before="0" w:after="283"/>
              <w:jc w:val="center"/>
              <w:rPr/>
            </w:pPr>
            <w:r>
              <w:rPr/>
              <w:t>Title of the Class of Securities To Be Sold</w:t>
            </w:r>
          </w:p>
        </w:tc>
        <w:tc>
          <w:tcPr>
            <w:tcW w:w="1417"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545"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49" w:type="dxa"/>
            <w:tcBorders/>
            <w:vAlign w:val="center"/>
          </w:tcPr>
          <w:p>
            <w:pPr>
              <w:pStyle w:val="TableHeading"/>
              <w:suppressLineNumbers/>
              <w:bidi w:val="0"/>
              <w:spacing w:before="0" w:after="283"/>
              <w:jc w:val="center"/>
              <w:rPr/>
            </w:pPr>
            <w:r>
              <w:rPr/>
              <w:t>Name the Securities Exchange</w:t>
            </w:r>
          </w:p>
        </w:tc>
      </w:tr>
      <w:tr>
        <w:trPr/>
        <w:tc>
          <w:tcPr>
            <w:tcW w:w="1681" w:type="dxa"/>
            <w:tcBorders/>
            <w:vAlign w:val="center"/>
          </w:tcPr>
          <w:p>
            <w:pPr>
              <w:pStyle w:val="TableContents"/>
              <w:bidi w:val="0"/>
              <w:spacing w:before="0" w:after="283"/>
              <w:jc w:val="left"/>
              <w:rPr/>
            </w:pPr>
            <w:r>
              <w:rPr/>
              <w:t>ADS - each representing 3 Class A Ordinary shares</w:t>
            </w:r>
          </w:p>
        </w:tc>
        <w:tc>
          <w:tcPr>
            <w:tcW w:w="1417" w:type="dxa"/>
            <w:tcBorders/>
            <w:vAlign w:val="center"/>
          </w:tcPr>
          <w:p>
            <w:pPr>
              <w:pStyle w:val="TableContents"/>
              <w:bidi w:val="0"/>
              <w:spacing w:before="0" w:after="0"/>
              <w:jc w:val="left"/>
              <w:rPr/>
            </w:pPr>
            <w:r>
              <w:rPr/>
              <w:t>J.P. Morgan Securities LLC</w:t>
              <w:br/>
              <w:t>270 Park Avenue - 10th Floor</w:t>
              <w:br/>
              <w:t>New York   NY   10017</w:t>
            </w:r>
          </w:p>
        </w:tc>
        <w:tc>
          <w:tcPr>
            <w:tcW w:w="1138" w:type="dxa"/>
            <w:tcBorders/>
            <w:vAlign w:val="center"/>
          </w:tcPr>
          <w:p>
            <w:pPr>
              <w:pStyle w:val="TableContents"/>
              <w:bidi w:val="0"/>
              <w:spacing w:before="0" w:after="283"/>
              <w:jc w:val="left"/>
              <w:rPr/>
            </w:pPr>
            <w:r>
              <w:rPr/>
              <w:t>5344661</w:t>
            </w:r>
          </w:p>
        </w:tc>
        <w:tc>
          <w:tcPr>
            <w:tcW w:w="1545" w:type="dxa"/>
            <w:tcBorders/>
            <w:vAlign w:val="center"/>
          </w:tcPr>
          <w:p>
            <w:pPr>
              <w:pStyle w:val="TableContents"/>
              <w:bidi w:val="0"/>
              <w:spacing w:before="0" w:after="283"/>
              <w:jc w:val="left"/>
              <w:rPr/>
            </w:pPr>
            <w:r>
              <w:rPr/>
              <w:t>89202392.09</w:t>
            </w:r>
          </w:p>
        </w:tc>
        <w:tc>
          <w:tcPr>
            <w:tcW w:w="1525" w:type="dxa"/>
            <w:tcBorders/>
            <w:vAlign w:val="center"/>
          </w:tcPr>
          <w:p>
            <w:pPr>
              <w:pStyle w:val="TableContents"/>
              <w:bidi w:val="0"/>
              <w:spacing w:before="0" w:after="283"/>
              <w:jc w:val="left"/>
              <w:rPr/>
            </w:pPr>
            <w:r>
              <w:rPr/>
              <w:t>1100286036</w:t>
            </w:r>
          </w:p>
        </w:tc>
        <w:tc>
          <w:tcPr>
            <w:tcW w:w="1550" w:type="dxa"/>
            <w:tcBorders/>
            <w:vAlign w:val="center"/>
          </w:tcPr>
          <w:p>
            <w:pPr>
              <w:pStyle w:val="TableContents"/>
              <w:bidi w:val="0"/>
              <w:spacing w:before="0" w:after="283"/>
              <w:jc w:val="left"/>
              <w:rPr/>
            </w:pPr>
            <w:r>
              <w:rPr/>
              <w:t>09/25/2026</w:t>
            </w:r>
          </w:p>
        </w:tc>
        <w:tc>
          <w:tcPr>
            <w:tcW w:w="134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18"/>
        <w:gridCol w:w="1462"/>
        <w:gridCol w:w="1179"/>
        <w:gridCol w:w="523"/>
        <w:gridCol w:w="1118"/>
        <w:gridCol w:w="1173"/>
        <w:gridCol w:w="1059"/>
        <w:gridCol w:w="1190"/>
      </w:tblGrid>
      <w:tr>
        <w:trPr/>
        <w:tc>
          <w:tcPr>
            <w:tcW w:w="1383"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462" w:type="dxa"/>
            <w:tcBorders/>
            <w:vAlign w:val="center"/>
          </w:tcPr>
          <w:p>
            <w:pPr>
              <w:pStyle w:val="TableHeading"/>
              <w:suppressLineNumbers/>
              <w:bidi w:val="0"/>
              <w:spacing w:before="0" w:after="283"/>
              <w:jc w:val="center"/>
              <w:rPr/>
            </w:pPr>
            <w:r>
              <w:rPr/>
              <w:t>Nature of Acquisition Transaction</w:t>
            </w:r>
          </w:p>
        </w:tc>
        <w:tc>
          <w:tcPr>
            <w:tcW w:w="117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59" w:type="dxa"/>
            <w:tcBorders/>
            <w:vAlign w:val="center"/>
          </w:tcPr>
          <w:p>
            <w:pPr>
              <w:pStyle w:val="TableHeading"/>
              <w:suppressLineNumbers/>
              <w:bidi w:val="0"/>
              <w:spacing w:before="0" w:after="283"/>
              <w:jc w:val="center"/>
              <w:rPr/>
            </w:pPr>
            <w:r>
              <w:rPr/>
              <w:t>Date of Payment</w:t>
            </w:r>
          </w:p>
        </w:tc>
        <w:tc>
          <w:tcPr>
            <w:tcW w:w="11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ADS - each representing 3 Class A Ordinary shares</w:t>
            </w:r>
          </w:p>
        </w:tc>
        <w:tc>
          <w:tcPr>
            <w:tcW w:w="1118" w:type="dxa"/>
            <w:tcBorders/>
            <w:vAlign w:val="center"/>
          </w:tcPr>
          <w:p>
            <w:pPr>
              <w:pStyle w:val="TableContents"/>
              <w:bidi w:val="0"/>
              <w:spacing w:before="0" w:after="283"/>
              <w:jc w:val="left"/>
              <w:rPr/>
            </w:pPr>
            <w:r>
              <w:rPr/>
              <w:t>09/06/2018</w:t>
            </w:r>
          </w:p>
        </w:tc>
        <w:tc>
          <w:tcPr>
            <w:tcW w:w="1462" w:type="dxa"/>
            <w:tcBorders/>
            <w:vAlign w:val="center"/>
          </w:tcPr>
          <w:p>
            <w:pPr>
              <w:pStyle w:val="TableContents"/>
              <w:bidi w:val="0"/>
              <w:spacing w:before="0" w:after="283"/>
              <w:jc w:val="left"/>
              <w:rPr/>
            </w:pPr>
            <w:r>
              <w:rPr/>
              <w:t>Allotment under a share incentive plan</w:t>
            </w:r>
          </w:p>
        </w:tc>
        <w:tc>
          <w:tcPr>
            <w:tcW w:w="1179" w:type="dxa"/>
            <w:tcBorders/>
            <w:vAlign w:val="center"/>
          </w:tcPr>
          <w:p>
            <w:pPr>
              <w:pStyle w:val="TableContents"/>
              <w:bidi w:val="0"/>
              <w:spacing w:before="0" w:after="283"/>
              <w:jc w:val="left"/>
              <w:rPr/>
            </w:pPr>
            <w:r>
              <w:rPr/>
              <w:t>KE Holdings Inc</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5344661</w:t>
            </w:r>
          </w:p>
        </w:tc>
        <w:tc>
          <w:tcPr>
            <w:tcW w:w="1059" w:type="dxa"/>
            <w:tcBorders/>
            <w:vAlign w:val="center"/>
          </w:tcPr>
          <w:p>
            <w:pPr>
              <w:pStyle w:val="TableContents"/>
              <w:bidi w:val="0"/>
              <w:spacing w:before="0" w:after="283"/>
              <w:jc w:val="left"/>
              <w:rPr/>
            </w:pPr>
            <w:r>
              <w:rPr/>
              <w:t>09/06/2018</w:t>
            </w:r>
          </w:p>
        </w:tc>
        <w:tc>
          <w:tcPr>
            <w:tcW w:w="119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90"/>
        <w:gridCol w:w="8215"/>
      </w:tblGrid>
      <w:tr>
        <w:trPr/>
        <w:tc>
          <w:tcPr>
            <w:tcW w:w="1990" w:type="dxa"/>
            <w:tcBorders/>
            <w:vAlign w:val="center"/>
          </w:tcPr>
          <w:p>
            <w:pPr>
              <w:pStyle w:val="TableContents"/>
              <w:bidi w:val="0"/>
              <w:spacing w:before="0" w:after="283"/>
              <w:jc w:val="left"/>
              <w:rPr/>
            </w:pPr>
            <w:r>
              <w:rPr/>
              <w:t>Remarks</w:t>
            </w:r>
          </w:p>
        </w:tc>
        <w:tc>
          <w:tcPr>
            <w:tcW w:w="8215" w:type="dxa"/>
            <w:tcBorders/>
            <w:vAlign w:val="center"/>
          </w:tcPr>
          <w:p>
            <w:pPr>
              <w:pStyle w:val="TableContents"/>
              <w:bidi w:val="0"/>
              <w:spacing w:before="0" w:after="283"/>
              <w:jc w:val="left"/>
              <w:rPr>
                <w:sz w:val="4"/>
                <w:szCs w:val="4"/>
              </w:rPr>
            </w:pPr>
            <w:r>
              <w:rPr>
                <w:sz w:val="4"/>
                <w:szCs w:val="4"/>
              </w:rPr>
            </w:r>
          </w:p>
        </w:tc>
      </w:tr>
      <w:tr>
        <w:trPr/>
        <w:tc>
          <w:tcPr>
            <w:tcW w:w="1990" w:type="dxa"/>
            <w:tcBorders/>
            <w:vAlign w:val="center"/>
          </w:tcPr>
          <w:p>
            <w:pPr>
              <w:pStyle w:val="TableContents"/>
              <w:bidi w:val="0"/>
              <w:spacing w:before="0" w:after="283"/>
              <w:jc w:val="left"/>
              <w:rPr/>
            </w:pPr>
            <w:r>
              <w:rPr/>
              <w:t>Date of Notice</w:t>
            </w:r>
          </w:p>
        </w:tc>
        <w:tc>
          <w:tcPr>
            <w:tcW w:w="8215" w:type="dxa"/>
            <w:tcBorders/>
            <w:vAlign w:val="center"/>
          </w:tcPr>
          <w:p>
            <w:pPr>
              <w:pStyle w:val="TableContents"/>
              <w:bidi w:val="0"/>
              <w:spacing w:before="0" w:after="0"/>
              <w:jc w:val="left"/>
              <w:rPr/>
            </w:pPr>
            <w:r>
              <w:rPr/>
              <w:t>09/25/2026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90" w:type="dxa"/>
            <w:tcBorders/>
            <w:vAlign w:val="center"/>
          </w:tcPr>
          <w:p>
            <w:pPr>
              <w:pStyle w:val="TableContents"/>
              <w:bidi w:val="0"/>
              <w:spacing w:before="0" w:after="283"/>
              <w:jc w:val="left"/>
              <w:rPr/>
            </w:pPr>
            <w:r>
              <w:rPr/>
              <w:t>Signature</w:t>
            </w:r>
          </w:p>
        </w:tc>
        <w:tc>
          <w:tcPr>
            <w:tcW w:w="8215" w:type="dxa"/>
            <w:tcBorders/>
            <w:vAlign w:val="center"/>
          </w:tcPr>
          <w:p>
            <w:pPr>
              <w:pStyle w:val="TableContents"/>
              <w:bidi w:val="0"/>
              <w:spacing w:before="0" w:after="0"/>
              <w:jc w:val="left"/>
              <w:rPr/>
            </w:pPr>
            <w:r>
              <w:rPr/>
              <w:t>/s/ J.P. Morgan Securities LLC as agent and attorney-in-fact for Ever Orient International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3130</Characters>
  <CharactersWithSpaces>3691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